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60E76" w14:textId="14042563" w:rsidR="009E21F9" w:rsidRPr="00EF7687" w:rsidRDefault="009E21F9" w:rsidP="009E21F9">
      <w:pPr>
        <w:jc w:val="both"/>
      </w:pPr>
      <w:r>
        <w:t xml:space="preserve">                                                                                             </w:t>
      </w:r>
      <w:r w:rsidRPr="00EF7687">
        <w:t>PATVIRTINTA</w:t>
      </w:r>
    </w:p>
    <w:p w14:paraId="5CC5A539" w14:textId="2045108E" w:rsidR="009E21F9" w:rsidRPr="00EF7687" w:rsidRDefault="009E21F9" w:rsidP="009E21F9">
      <w:pPr>
        <w:tabs>
          <w:tab w:val="left" w:pos="5529"/>
        </w:tabs>
        <w:jc w:val="both"/>
      </w:pPr>
      <w:r w:rsidRPr="00EF7687">
        <w:t xml:space="preserve">                                                                                      </w:t>
      </w:r>
      <w:r>
        <w:t xml:space="preserve">       </w:t>
      </w:r>
      <w:r w:rsidRPr="00EF7687">
        <w:t>Skuodo rajono savivaldybės tarybos</w:t>
      </w:r>
    </w:p>
    <w:p w14:paraId="072AF773" w14:textId="19A768A2" w:rsidR="008A6560" w:rsidRDefault="009E21F9" w:rsidP="009E21F9">
      <w:pPr>
        <w:tabs>
          <w:tab w:val="left" w:pos="5387"/>
        </w:tabs>
        <w:spacing w:line="360" w:lineRule="auto"/>
        <w:jc w:val="center"/>
        <w:rPr>
          <w:b/>
        </w:rPr>
      </w:pPr>
      <w:r w:rsidRPr="00EF7687">
        <w:t xml:space="preserve">                                                                                      </w:t>
      </w:r>
      <w:r>
        <w:t xml:space="preserve"> </w:t>
      </w:r>
      <w:r w:rsidRPr="00EF7687">
        <w:t>202</w:t>
      </w:r>
      <w:r>
        <w:t>5</w:t>
      </w:r>
      <w:r w:rsidRPr="00EF7687">
        <w:t xml:space="preserve"> m. gegužės d. sprendimu N</w:t>
      </w:r>
      <w:r w:rsidR="009B5878">
        <w:t>r</w:t>
      </w:r>
      <w:r w:rsidRPr="00EF7687">
        <w:t>. T9</w:t>
      </w:r>
      <w:r w:rsidR="009B5878">
        <w:t>-</w:t>
      </w:r>
    </w:p>
    <w:p w14:paraId="10F33780" w14:textId="77777777" w:rsidR="009E21F9" w:rsidRDefault="009E21F9">
      <w:pPr>
        <w:tabs>
          <w:tab w:val="left" w:pos="5387"/>
        </w:tabs>
        <w:spacing w:line="360" w:lineRule="auto"/>
        <w:jc w:val="center"/>
        <w:rPr>
          <w:b/>
        </w:rPr>
      </w:pPr>
    </w:p>
    <w:p w14:paraId="072AF774" w14:textId="44627A1B" w:rsidR="008A6560" w:rsidRDefault="005322E1" w:rsidP="009E21F9">
      <w:pPr>
        <w:tabs>
          <w:tab w:val="left" w:pos="5387"/>
        </w:tabs>
        <w:jc w:val="center"/>
      </w:pPr>
      <w:r>
        <w:rPr>
          <w:b/>
        </w:rPr>
        <w:t>SKUODO RAJONO SAVIVALDYBĖS (M40)</w:t>
      </w:r>
    </w:p>
    <w:p w14:paraId="072AF775" w14:textId="77777777" w:rsidR="008A6560" w:rsidRDefault="005322E1" w:rsidP="009E21F9">
      <w:pPr>
        <w:tabs>
          <w:tab w:val="left" w:pos="5387"/>
        </w:tabs>
        <w:jc w:val="center"/>
        <w:rPr>
          <w:b/>
        </w:rPr>
      </w:pPr>
      <w:r>
        <w:rPr>
          <w:b/>
        </w:rPr>
        <w:t>2024 M. METINIO FINANSINIŲ ATASKAITŲ RINKINIO</w:t>
      </w:r>
    </w:p>
    <w:p w14:paraId="072AF776" w14:textId="77777777" w:rsidR="008A6560" w:rsidRDefault="005322E1" w:rsidP="009E21F9">
      <w:pPr>
        <w:jc w:val="center"/>
        <w:rPr>
          <w:b/>
        </w:rPr>
      </w:pPr>
      <w:r>
        <w:rPr>
          <w:b/>
        </w:rPr>
        <w:t>A I Š K I N A M A S I S   R A Š T A S</w:t>
      </w:r>
    </w:p>
    <w:p w14:paraId="072AF777" w14:textId="77777777" w:rsidR="008A6560" w:rsidRDefault="008A6560">
      <w:pPr>
        <w:spacing w:line="360" w:lineRule="auto"/>
        <w:jc w:val="center"/>
        <w:rPr>
          <w:b/>
        </w:rPr>
      </w:pPr>
    </w:p>
    <w:p w14:paraId="072AF778" w14:textId="77777777" w:rsidR="008A6560" w:rsidRDefault="005322E1">
      <w:pPr>
        <w:tabs>
          <w:tab w:val="left" w:pos="720"/>
        </w:tabs>
        <w:spacing w:line="276" w:lineRule="auto"/>
        <w:jc w:val="center"/>
      </w:pPr>
      <w:r>
        <w:rPr>
          <w:b/>
        </w:rPr>
        <w:t xml:space="preserve">I. BENDROJI DALIS </w:t>
      </w:r>
    </w:p>
    <w:p w14:paraId="072AF779" w14:textId="77777777" w:rsidR="008A6560" w:rsidRDefault="008A6560">
      <w:pPr>
        <w:ind w:left="1080"/>
        <w:rPr>
          <w:b/>
        </w:rPr>
      </w:pPr>
    </w:p>
    <w:p w14:paraId="072AF77A" w14:textId="436E81E8" w:rsidR="008A6560" w:rsidRDefault="005322E1" w:rsidP="00A215E7">
      <w:pPr>
        <w:tabs>
          <w:tab w:val="left" w:pos="851"/>
        </w:tabs>
        <w:ind w:firstLine="1247"/>
        <w:jc w:val="both"/>
      </w:pPr>
      <w:r>
        <w:t xml:space="preserve">Skuodo rajono savivaldybės (toliau – Savivaldybės) metinį finansinių ataskaitų rinkinį rengia Skuodo rajono savivaldybės administracijos Biudžeto valdymo skyrius. Savivaldybės metinis finansinių ataskaitų rinkinys už 2024-uosius finansinius metus parengtas vadovaujantis Lietuvos Respublikos viešojo sektoriaus atskaitomybės įstatymu, Viešojo sektoriaus apskaitos ir finansinės atskaitomybės standartais (toliau – VSAFAS) ir kitais Lietuvos Respublikos teisės aktais, reglamentuojančiais viešojo sektoriaus subjektų grupių metinių finansinių ataskaitų parengimą.  </w:t>
      </w:r>
    </w:p>
    <w:p w14:paraId="072AF77B" w14:textId="017A81DF" w:rsidR="008A6560" w:rsidRDefault="005322E1" w:rsidP="00A215E7">
      <w:pPr>
        <w:tabs>
          <w:tab w:val="left" w:pos="851"/>
        </w:tabs>
        <w:ind w:firstLine="1247"/>
        <w:jc w:val="both"/>
      </w:pPr>
      <w:r>
        <w:t>Į šį metinį finansinių ataskaitų rinkinį įtrauktos Savivaldybės kontroliuojamų viešojo sektoriaus subjektų – biudžetinių, viešųjų įstaigų ir išteklių fondo (savivaldybės iždo) finansinės ataskaitos už ataskaitinius metus, pasibaigusius 2024 m. gruodžio 31 d. Savivaldybės menamas grupės kodas – M40. Savivaldybės kontroliuojamų viešojo sektoriaus subjektų sąrašas, metinėms finansinėms ataskaitoms konsoliduoti, patvirtintas Skuodo rajono savivaldybės administracijos direktoriaus 2024 m. lapkričio 20 d. įsakymu Nr. A1-509. Pažymėtina, kad 2024 m. finansiniu laikotarpiu prie Savivaldybės viešojo sektoriaus subjektų grupės prisidėjo nauja viešoji įstaiga – Skuodo</w:t>
      </w:r>
      <w:r w:rsidR="00ED25A6">
        <w:t xml:space="preserve"> </w:t>
      </w:r>
      <w:r>
        <w:t xml:space="preserve">informacijos centras, kuris vadovaujantis Lietuvos Respublikos viešojo sektoriaus atskaitomybės įstatymu, nuo 2024 m. rugpjūčio 1 d. tapo viešojo sektoriaus subjektu, kurį  100 proc. kontroliuoja ir valdo Skuodo rajono savivaldybė. </w:t>
      </w:r>
      <w:r>
        <w:tab/>
        <w:t xml:space="preserve"> </w:t>
      </w:r>
    </w:p>
    <w:p w14:paraId="072AF77C" w14:textId="53D4F14C" w:rsidR="008A6560" w:rsidRDefault="005322E1" w:rsidP="00A215E7">
      <w:pPr>
        <w:tabs>
          <w:tab w:val="left" w:pos="851"/>
        </w:tabs>
        <w:ind w:firstLine="1247"/>
        <w:jc w:val="both"/>
      </w:pPr>
      <w:r>
        <w:t xml:space="preserve">Informacija apie kontroliuojamus, asocijuotus ir kitus subjektus ataskaitinio laikotarpio pabaigoje pateikta 1 ir 3 lentelėse bei šio aiškinamojo rašto prieduose. </w:t>
      </w:r>
    </w:p>
    <w:p w14:paraId="072AF77D" w14:textId="77777777" w:rsidR="008A6560" w:rsidRDefault="005322E1">
      <w:pPr>
        <w:tabs>
          <w:tab w:val="left" w:pos="851"/>
        </w:tabs>
        <w:spacing w:line="276" w:lineRule="auto"/>
        <w:jc w:val="both"/>
        <w:rPr>
          <w:sz w:val="20"/>
          <w:szCs w:val="20"/>
        </w:rPr>
      </w:pPr>
      <w:r>
        <w:rPr>
          <w:i/>
          <w:sz w:val="20"/>
          <w:szCs w:val="20"/>
        </w:rPr>
        <w:t xml:space="preserve">1 lentelė. Informacija apie kontroliuojamus, asocijuotuosius ir kitus subjektus ataskaitinio laikotarpio pabaigoje </w:t>
      </w:r>
    </w:p>
    <w:tbl>
      <w:tblPr>
        <w:tblW w:w="9747" w:type="dxa"/>
        <w:tblInd w:w="-113" w:type="dxa"/>
        <w:tblLayout w:type="fixed"/>
        <w:tblLook w:val="04A0" w:firstRow="1" w:lastRow="0" w:firstColumn="1" w:lastColumn="0" w:noHBand="0" w:noVBand="1"/>
      </w:tblPr>
      <w:tblGrid>
        <w:gridCol w:w="648"/>
        <w:gridCol w:w="7540"/>
        <w:gridCol w:w="1559"/>
      </w:tblGrid>
      <w:tr w:rsidR="008A6560" w14:paraId="072AF782" w14:textId="77777777" w:rsidTr="00A215E7">
        <w:tc>
          <w:tcPr>
            <w:tcW w:w="648" w:type="dxa"/>
            <w:tcBorders>
              <w:top w:val="single" w:sz="4" w:space="0" w:color="000000"/>
              <w:left w:val="single" w:sz="4" w:space="0" w:color="000000"/>
              <w:bottom w:val="single" w:sz="4" w:space="0" w:color="000000"/>
              <w:right w:val="single" w:sz="4" w:space="0" w:color="000000"/>
            </w:tcBorders>
          </w:tcPr>
          <w:p w14:paraId="072AF77E" w14:textId="77777777" w:rsidR="008A6560" w:rsidRDefault="005322E1">
            <w:pPr>
              <w:tabs>
                <w:tab w:val="left" w:pos="1260"/>
              </w:tabs>
              <w:spacing w:line="276" w:lineRule="auto"/>
              <w:jc w:val="center"/>
            </w:pPr>
            <w:r>
              <w:t xml:space="preserve">Eil. Nr. </w:t>
            </w:r>
          </w:p>
        </w:tc>
        <w:tc>
          <w:tcPr>
            <w:tcW w:w="7540" w:type="dxa"/>
            <w:tcBorders>
              <w:top w:val="single" w:sz="4" w:space="0" w:color="000000"/>
              <w:left w:val="single" w:sz="4" w:space="0" w:color="000000"/>
              <w:bottom w:val="single" w:sz="4" w:space="0" w:color="000000"/>
              <w:right w:val="single" w:sz="4" w:space="0" w:color="000000"/>
            </w:tcBorders>
          </w:tcPr>
          <w:p w14:paraId="072AF77F" w14:textId="77777777" w:rsidR="008A6560" w:rsidRDefault="008A6560">
            <w:pPr>
              <w:tabs>
                <w:tab w:val="left" w:pos="1260"/>
              </w:tabs>
              <w:snapToGrid w:val="0"/>
              <w:spacing w:line="276" w:lineRule="auto"/>
              <w:jc w:val="center"/>
              <w:rPr>
                <w:sz w:val="12"/>
                <w:szCs w:val="12"/>
              </w:rPr>
            </w:pPr>
          </w:p>
          <w:p w14:paraId="072AF780" w14:textId="77777777" w:rsidR="008A6560" w:rsidRDefault="005322E1">
            <w:pPr>
              <w:tabs>
                <w:tab w:val="left" w:pos="1260"/>
              </w:tabs>
              <w:spacing w:line="276" w:lineRule="auto"/>
              <w:jc w:val="center"/>
            </w:pPr>
            <w:r>
              <w:t xml:space="preserve">Subjekto tipas ir pavadinimas </w:t>
            </w:r>
          </w:p>
        </w:tc>
        <w:tc>
          <w:tcPr>
            <w:tcW w:w="1559" w:type="dxa"/>
            <w:tcBorders>
              <w:top w:val="single" w:sz="4" w:space="0" w:color="000000"/>
              <w:left w:val="single" w:sz="4" w:space="0" w:color="000000"/>
              <w:bottom w:val="single" w:sz="4" w:space="0" w:color="000000"/>
              <w:right w:val="single" w:sz="4" w:space="0" w:color="000000"/>
            </w:tcBorders>
          </w:tcPr>
          <w:p w14:paraId="072AF781" w14:textId="77777777" w:rsidR="008A6560" w:rsidRDefault="005322E1">
            <w:pPr>
              <w:tabs>
                <w:tab w:val="left" w:pos="1260"/>
              </w:tabs>
              <w:spacing w:line="276" w:lineRule="auto"/>
              <w:jc w:val="center"/>
            </w:pPr>
            <w:r>
              <w:t>Subjektų skaičius</w:t>
            </w:r>
          </w:p>
        </w:tc>
      </w:tr>
      <w:tr w:rsidR="008A6560" w14:paraId="072AF786" w14:textId="77777777" w:rsidTr="00A215E7">
        <w:tc>
          <w:tcPr>
            <w:tcW w:w="648" w:type="dxa"/>
            <w:tcBorders>
              <w:top w:val="single" w:sz="4" w:space="0" w:color="000000"/>
              <w:left w:val="single" w:sz="4" w:space="0" w:color="000000"/>
              <w:bottom w:val="single" w:sz="4" w:space="0" w:color="000000"/>
              <w:right w:val="single" w:sz="4" w:space="0" w:color="000000"/>
            </w:tcBorders>
          </w:tcPr>
          <w:p w14:paraId="072AF783" w14:textId="77777777" w:rsidR="008A6560" w:rsidRDefault="005322E1">
            <w:pPr>
              <w:tabs>
                <w:tab w:val="left" w:pos="1260"/>
              </w:tabs>
              <w:spacing w:line="276" w:lineRule="auto"/>
            </w:pPr>
            <w:r>
              <w:t xml:space="preserve">1. </w:t>
            </w:r>
          </w:p>
        </w:tc>
        <w:tc>
          <w:tcPr>
            <w:tcW w:w="7540" w:type="dxa"/>
            <w:tcBorders>
              <w:top w:val="single" w:sz="4" w:space="0" w:color="000000"/>
              <w:left w:val="single" w:sz="4" w:space="0" w:color="000000"/>
              <w:bottom w:val="single" w:sz="4" w:space="0" w:color="000000"/>
              <w:right w:val="single" w:sz="4" w:space="0" w:color="000000"/>
            </w:tcBorders>
          </w:tcPr>
          <w:p w14:paraId="072AF784" w14:textId="77777777" w:rsidR="008A6560" w:rsidRDefault="005322E1">
            <w:pPr>
              <w:tabs>
                <w:tab w:val="left" w:pos="1260"/>
              </w:tabs>
              <w:spacing w:line="276" w:lineRule="auto"/>
            </w:pPr>
            <w:r>
              <w:t xml:space="preserve">Kontroliuojamos biudžetinės įstaigos </w:t>
            </w:r>
          </w:p>
        </w:tc>
        <w:tc>
          <w:tcPr>
            <w:tcW w:w="1559" w:type="dxa"/>
            <w:tcBorders>
              <w:top w:val="single" w:sz="4" w:space="0" w:color="000000"/>
              <w:left w:val="single" w:sz="4" w:space="0" w:color="000000"/>
              <w:bottom w:val="single" w:sz="4" w:space="0" w:color="000000"/>
              <w:right w:val="single" w:sz="4" w:space="0" w:color="000000"/>
            </w:tcBorders>
          </w:tcPr>
          <w:p w14:paraId="072AF785" w14:textId="77777777" w:rsidR="008A6560" w:rsidRDefault="005322E1">
            <w:pPr>
              <w:tabs>
                <w:tab w:val="left" w:pos="1260"/>
              </w:tabs>
              <w:spacing w:line="276" w:lineRule="auto"/>
              <w:jc w:val="center"/>
            </w:pPr>
            <w:r>
              <w:t>19</w:t>
            </w:r>
          </w:p>
        </w:tc>
      </w:tr>
      <w:tr w:rsidR="008A6560" w14:paraId="072AF78A" w14:textId="77777777" w:rsidTr="00A215E7">
        <w:tc>
          <w:tcPr>
            <w:tcW w:w="648" w:type="dxa"/>
            <w:tcBorders>
              <w:top w:val="single" w:sz="4" w:space="0" w:color="000000"/>
              <w:left w:val="single" w:sz="4" w:space="0" w:color="000000"/>
              <w:bottom w:val="single" w:sz="4" w:space="0" w:color="000000"/>
              <w:right w:val="single" w:sz="4" w:space="0" w:color="000000"/>
            </w:tcBorders>
          </w:tcPr>
          <w:p w14:paraId="072AF787" w14:textId="77777777" w:rsidR="008A6560" w:rsidRDefault="005322E1">
            <w:pPr>
              <w:tabs>
                <w:tab w:val="left" w:pos="1260"/>
              </w:tabs>
              <w:spacing w:line="276" w:lineRule="auto"/>
            </w:pPr>
            <w:r>
              <w:t xml:space="preserve">2. </w:t>
            </w:r>
          </w:p>
        </w:tc>
        <w:tc>
          <w:tcPr>
            <w:tcW w:w="7540" w:type="dxa"/>
            <w:tcBorders>
              <w:top w:val="single" w:sz="4" w:space="0" w:color="000000"/>
              <w:left w:val="single" w:sz="4" w:space="0" w:color="000000"/>
              <w:bottom w:val="single" w:sz="4" w:space="0" w:color="000000"/>
              <w:right w:val="single" w:sz="4" w:space="0" w:color="000000"/>
            </w:tcBorders>
          </w:tcPr>
          <w:p w14:paraId="072AF788" w14:textId="77777777" w:rsidR="008A6560" w:rsidRDefault="005322E1">
            <w:pPr>
              <w:tabs>
                <w:tab w:val="left" w:pos="1260"/>
              </w:tabs>
              <w:spacing w:line="276" w:lineRule="auto"/>
            </w:pPr>
            <w:r>
              <w:t>Kontroliuojamos viešosios įstaigos, priskiriamos prie viešojo sektoriaus subjektų</w:t>
            </w:r>
          </w:p>
        </w:tc>
        <w:tc>
          <w:tcPr>
            <w:tcW w:w="1559" w:type="dxa"/>
            <w:tcBorders>
              <w:top w:val="single" w:sz="4" w:space="0" w:color="000000"/>
              <w:left w:val="single" w:sz="4" w:space="0" w:color="000000"/>
              <w:bottom w:val="single" w:sz="4" w:space="0" w:color="000000"/>
              <w:right w:val="single" w:sz="4" w:space="0" w:color="000000"/>
            </w:tcBorders>
          </w:tcPr>
          <w:p w14:paraId="072AF789" w14:textId="77777777" w:rsidR="008A6560" w:rsidRDefault="005322E1">
            <w:pPr>
              <w:tabs>
                <w:tab w:val="left" w:pos="1260"/>
              </w:tabs>
              <w:spacing w:line="276" w:lineRule="auto"/>
              <w:jc w:val="center"/>
            </w:pPr>
            <w:r>
              <w:t>4</w:t>
            </w:r>
          </w:p>
        </w:tc>
      </w:tr>
      <w:tr w:rsidR="008A6560" w14:paraId="072AF78E" w14:textId="77777777" w:rsidTr="00A215E7">
        <w:tc>
          <w:tcPr>
            <w:tcW w:w="648" w:type="dxa"/>
            <w:tcBorders>
              <w:top w:val="single" w:sz="4" w:space="0" w:color="000000"/>
              <w:left w:val="single" w:sz="4" w:space="0" w:color="000000"/>
              <w:bottom w:val="single" w:sz="4" w:space="0" w:color="000000"/>
              <w:right w:val="single" w:sz="4" w:space="0" w:color="000000"/>
            </w:tcBorders>
          </w:tcPr>
          <w:p w14:paraId="072AF78B" w14:textId="77777777" w:rsidR="008A6560" w:rsidRDefault="005322E1">
            <w:pPr>
              <w:tabs>
                <w:tab w:val="left" w:pos="1260"/>
              </w:tabs>
              <w:spacing w:line="276" w:lineRule="auto"/>
            </w:pPr>
            <w:r>
              <w:t>3.</w:t>
            </w:r>
          </w:p>
        </w:tc>
        <w:tc>
          <w:tcPr>
            <w:tcW w:w="7540" w:type="dxa"/>
            <w:tcBorders>
              <w:top w:val="single" w:sz="4" w:space="0" w:color="000000"/>
              <w:left w:val="single" w:sz="4" w:space="0" w:color="000000"/>
              <w:bottom w:val="single" w:sz="4" w:space="0" w:color="000000"/>
              <w:right w:val="single" w:sz="4" w:space="0" w:color="000000"/>
            </w:tcBorders>
          </w:tcPr>
          <w:p w14:paraId="072AF78C" w14:textId="77777777" w:rsidR="008A6560" w:rsidRDefault="005322E1">
            <w:pPr>
              <w:tabs>
                <w:tab w:val="left" w:pos="1260"/>
              </w:tabs>
              <w:spacing w:line="276" w:lineRule="auto"/>
            </w:pPr>
            <w:r>
              <w:t xml:space="preserve">Kontroliuojamos akcinės ir uždarosios akcinės bendrovės </w:t>
            </w:r>
          </w:p>
        </w:tc>
        <w:tc>
          <w:tcPr>
            <w:tcW w:w="1559" w:type="dxa"/>
            <w:tcBorders>
              <w:top w:val="single" w:sz="4" w:space="0" w:color="000000"/>
              <w:left w:val="single" w:sz="4" w:space="0" w:color="000000"/>
              <w:bottom w:val="single" w:sz="4" w:space="0" w:color="000000"/>
              <w:right w:val="single" w:sz="4" w:space="0" w:color="000000"/>
            </w:tcBorders>
          </w:tcPr>
          <w:p w14:paraId="072AF78D" w14:textId="77777777" w:rsidR="008A6560" w:rsidRDefault="005322E1">
            <w:pPr>
              <w:tabs>
                <w:tab w:val="left" w:pos="1260"/>
              </w:tabs>
              <w:spacing w:line="276" w:lineRule="auto"/>
              <w:jc w:val="center"/>
            </w:pPr>
            <w:r>
              <w:t>3</w:t>
            </w:r>
          </w:p>
        </w:tc>
      </w:tr>
      <w:tr w:rsidR="008A6560" w14:paraId="072AF792" w14:textId="77777777" w:rsidTr="00A215E7">
        <w:tc>
          <w:tcPr>
            <w:tcW w:w="648" w:type="dxa"/>
            <w:tcBorders>
              <w:top w:val="single" w:sz="4" w:space="0" w:color="000000"/>
              <w:left w:val="single" w:sz="4" w:space="0" w:color="000000"/>
              <w:bottom w:val="single" w:sz="4" w:space="0" w:color="000000"/>
              <w:right w:val="single" w:sz="4" w:space="0" w:color="000000"/>
            </w:tcBorders>
          </w:tcPr>
          <w:p w14:paraId="072AF78F" w14:textId="77777777" w:rsidR="008A6560" w:rsidRDefault="005322E1">
            <w:pPr>
              <w:tabs>
                <w:tab w:val="left" w:pos="1260"/>
              </w:tabs>
              <w:spacing w:line="276" w:lineRule="auto"/>
            </w:pPr>
            <w:r>
              <w:t>4.</w:t>
            </w:r>
          </w:p>
        </w:tc>
        <w:tc>
          <w:tcPr>
            <w:tcW w:w="7540" w:type="dxa"/>
            <w:tcBorders>
              <w:top w:val="single" w:sz="4" w:space="0" w:color="000000"/>
              <w:left w:val="single" w:sz="4" w:space="0" w:color="000000"/>
              <w:bottom w:val="single" w:sz="4" w:space="0" w:color="000000"/>
              <w:right w:val="single" w:sz="4" w:space="0" w:color="000000"/>
            </w:tcBorders>
          </w:tcPr>
          <w:p w14:paraId="072AF790" w14:textId="77777777" w:rsidR="008A6560" w:rsidRDefault="005322E1">
            <w:pPr>
              <w:tabs>
                <w:tab w:val="left" w:pos="1260"/>
              </w:tabs>
              <w:spacing w:line="276" w:lineRule="auto"/>
            </w:pPr>
            <w:r>
              <w:t>Administruojami išteklių fondai</w:t>
            </w:r>
          </w:p>
        </w:tc>
        <w:tc>
          <w:tcPr>
            <w:tcW w:w="1559" w:type="dxa"/>
            <w:tcBorders>
              <w:top w:val="single" w:sz="4" w:space="0" w:color="000000"/>
              <w:left w:val="single" w:sz="4" w:space="0" w:color="000000"/>
              <w:bottom w:val="single" w:sz="4" w:space="0" w:color="000000"/>
              <w:right w:val="single" w:sz="4" w:space="0" w:color="000000"/>
            </w:tcBorders>
          </w:tcPr>
          <w:p w14:paraId="072AF791" w14:textId="77777777" w:rsidR="008A6560" w:rsidRDefault="005322E1">
            <w:pPr>
              <w:tabs>
                <w:tab w:val="left" w:pos="1260"/>
              </w:tabs>
              <w:spacing w:line="276" w:lineRule="auto"/>
              <w:jc w:val="center"/>
            </w:pPr>
            <w:r>
              <w:t>1</w:t>
            </w:r>
          </w:p>
        </w:tc>
      </w:tr>
      <w:tr w:rsidR="008A6560" w14:paraId="072AF796" w14:textId="77777777" w:rsidTr="00A215E7">
        <w:tc>
          <w:tcPr>
            <w:tcW w:w="648" w:type="dxa"/>
            <w:tcBorders>
              <w:top w:val="single" w:sz="4" w:space="0" w:color="000000"/>
              <w:left w:val="single" w:sz="4" w:space="0" w:color="000000"/>
              <w:bottom w:val="single" w:sz="4" w:space="0" w:color="000000"/>
              <w:right w:val="single" w:sz="4" w:space="0" w:color="000000"/>
            </w:tcBorders>
          </w:tcPr>
          <w:p w14:paraId="072AF793" w14:textId="77777777" w:rsidR="008A6560" w:rsidRDefault="005322E1">
            <w:pPr>
              <w:tabs>
                <w:tab w:val="left" w:pos="1260"/>
              </w:tabs>
              <w:spacing w:line="276" w:lineRule="auto"/>
            </w:pPr>
            <w:r>
              <w:t>5.</w:t>
            </w:r>
          </w:p>
        </w:tc>
        <w:tc>
          <w:tcPr>
            <w:tcW w:w="7540" w:type="dxa"/>
            <w:tcBorders>
              <w:top w:val="single" w:sz="4" w:space="0" w:color="000000"/>
              <w:left w:val="single" w:sz="4" w:space="0" w:color="000000"/>
              <w:bottom w:val="single" w:sz="4" w:space="0" w:color="000000"/>
              <w:right w:val="single" w:sz="4" w:space="0" w:color="000000"/>
            </w:tcBorders>
          </w:tcPr>
          <w:p w14:paraId="072AF794" w14:textId="77777777" w:rsidR="008A6560" w:rsidRDefault="005322E1">
            <w:pPr>
              <w:tabs>
                <w:tab w:val="left" w:pos="1260"/>
              </w:tabs>
              <w:spacing w:line="276" w:lineRule="auto"/>
            </w:pPr>
            <w:r>
              <w:t xml:space="preserve">Asocijuotieji subjektai </w:t>
            </w:r>
          </w:p>
        </w:tc>
        <w:tc>
          <w:tcPr>
            <w:tcW w:w="1559" w:type="dxa"/>
            <w:tcBorders>
              <w:top w:val="single" w:sz="4" w:space="0" w:color="000000"/>
              <w:left w:val="single" w:sz="4" w:space="0" w:color="000000"/>
              <w:bottom w:val="single" w:sz="4" w:space="0" w:color="000000"/>
              <w:right w:val="single" w:sz="4" w:space="0" w:color="000000"/>
            </w:tcBorders>
          </w:tcPr>
          <w:p w14:paraId="072AF795" w14:textId="77777777" w:rsidR="008A6560" w:rsidRDefault="005322E1">
            <w:pPr>
              <w:tabs>
                <w:tab w:val="left" w:pos="1260"/>
              </w:tabs>
              <w:spacing w:line="276" w:lineRule="auto"/>
              <w:jc w:val="center"/>
            </w:pPr>
            <w:r>
              <w:t>2</w:t>
            </w:r>
          </w:p>
        </w:tc>
      </w:tr>
    </w:tbl>
    <w:p w14:paraId="072AF797" w14:textId="77777777" w:rsidR="008A6560" w:rsidRDefault="005322E1">
      <w:pPr>
        <w:tabs>
          <w:tab w:val="left" w:pos="720"/>
        </w:tabs>
        <w:spacing w:line="276" w:lineRule="auto"/>
        <w:jc w:val="both"/>
      </w:pPr>
      <w:r>
        <w:tab/>
        <w:t xml:space="preserve"> </w:t>
      </w:r>
    </w:p>
    <w:p w14:paraId="072AF798" w14:textId="77777777" w:rsidR="008A6560" w:rsidRDefault="005322E1" w:rsidP="00A215E7">
      <w:pPr>
        <w:tabs>
          <w:tab w:val="left" w:pos="720"/>
        </w:tabs>
        <w:ind w:firstLine="1247"/>
        <w:jc w:val="both"/>
      </w:pPr>
      <w:r>
        <w:tab/>
        <w:t xml:space="preserve">Savivaldybės 2024 m. gruodžio 31 d. pasibaigusių metų finansinį ataskaitų rinkinį sudaro: </w:t>
      </w:r>
    </w:p>
    <w:p w14:paraId="072AF799" w14:textId="77777777" w:rsidR="008A6560" w:rsidRDefault="005322E1" w:rsidP="00A215E7">
      <w:pPr>
        <w:numPr>
          <w:ilvl w:val="0"/>
          <w:numId w:val="2"/>
        </w:numPr>
        <w:tabs>
          <w:tab w:val="left" w:pos="720"/>
        </w:tabs>
        <w:spacing w:before="240" w:after="240"/>
        <w:contextualSpacing/>
        <w:jc w:val="both"/>
      </w:pPr>
      <w:r>
        <w:t>Finansinės būklės ataskaita;</w:t>
      </w:r>
    </w:p>
    <w:p w14:paraId="072AF79A" w14:textId="77777777" w:rsidR="008A6560" w:rsidRDefault="005322E1" w:rsidP="00A215E7">
      <w:pPr>
        <w:numPr>
          <w:ilvl w:val="0"/>
          <w:numId w:val="2"/>
        </w:numPr>
        <w:tabs>
          <w:tab w:val="left" w:pos="720"/>
        </w:tabs>
        <w:spacing w:before="240" w:after="240"/>
        <w:contextualSpacing/>
        <w:jc w:val="both"/>
      </w:pPr>
      <w:r>
        <w:t>Veiklos rezultatų ataskaita;</w:t>
      </w:r>
    </w:p>
    <w:p w14:paraId="072AF79B" w14:textId="77777777" w:rsidR="008A6560" w:rsidRDefault="005322E1" w:rsidP="00A215E7">
      <w:pPr>
        <w:numPr>
          <w:ilvl w:val="0"/>
          <w:numId w:val="2"/>
        </w:numPr>
        <w:tabs>
          <w:tab w:val="left" w:pos="720"/>
        </w:tabs>
        <w:spacing w:before="240" w:after="240"/>
        <w:contextualSpacing/>
        <w:jc w:val="both"/>
      </w:pPr>
      <w:r>
        <w:t>Pinigų srautų ataskaita;</w:t>
      </w:r>
    </w:p>
    <w:p w14:paraId="072AF79C" w14:textId="77777777" w:rsidR="008A6560" w:rsidRDefault="005322E1" w:rsidP="00A215E7">
      <w:pPr>
        <w:numPr>
          <w:ilvl w:val="0"/>
          <w:numId w:val="2"/>
        </w:numPr>
        <w:tabs>
          <w:tab w:val="left" w:pos="720"/>
        </w:tabs>
        <w:spacing w:before="240" w:after="240"/>
        <w:contextualSpacing/>
        <w:jc w:val="both"/>
      </w:pPr>
      <w:r>
        <w:t xml:space="preserve">Grynojo turto pokyčių ataskaita; </w:t>
      </w:r>
    </w:p>
    <w:p w14:paraId="072AF79D" w14:textId="77777777" w:rsidR="008A6560" w:rsidRDefault="005322E1" w:rsidP="00A215E7">
      <w:pPr>
        <w:numPr>
          <w:ilvl w:val="0"/>
          <w:numId w:val="2"/>
        </w:numPr>
        <w:tabs>
          <w:tab w:val="left" w:pos="720"/>
        </w:tabs>
        <w:spacing w:before="240" w:after="240"/>
        <w:contextualSpacing/>
        <w:jc w:val="both"/>
      </w:pPr>
      <w:r>
        <w:t>Metinio finansinių ataskaitų rinkinio aiškinamasis raštas su priedais;</w:t>
      </w:r>
    </w:p>
    <w:p w14:paraId="072AF79E" w14:textId="77777777" w:rsidR="008A6560" w:rsidRDefault="005322E1" w:rsidP="00A215E7">
      <w:pPr>
        <w:numPr>
          <w:ilvl w:val="0"/>
          <w:numId w:val="2"/>
        </w:numPr>
        <w:tabs>
          <w:tab w:val="left" w:pos="720"/>
        </w:tabs>
        <w:spacing w:before="240" w:after="240"/>
        <w:contextualSpacing/>
        <w:jc w:val="both"/>
      </w:pPr>
      <w:r>
        <w:t xml:space="preserve">Konsolidavimo kontrolių ataskaitos. </w:t>
      </w:r>
    </w:p>
    <w:p w14:paraId="072AF79F" w14:textId="77777777" w:rsidR="008A6560" w:rsidRDefault="005322E1" w:rsidP="00A215E7">
      <w:pPr>
        <w:tabs>
          <w:tab w:val="left" w:pos="720"/>
        </w:tabs>
        <w:spacing w:before="240" w:after="240"/>
        <w:contextualSpacing/>
        <w:jc w:val="both"/>
      </w:pPr>
      <w:r>
        <w:tab/>
      </w:r>
      <w:r>
        <w:tab/>
        <w:t xml:space="preserve"> </w:t>
      </w:r>
    </w:p>
    <w:p w14:paraId="072AF7A0" w14:textId="215AA84A" w:rsidR="008A6560" w:rsidRDefault="005322E1" w:rsidP="00A215E7">
      <w:pPr>
        <w:tabs>
          <w:tab w:val="left" w:pos="720"/>
        </w:tabs>
        <w:ind w:firstLine="1247"/>
        <w:jc w:val="both"/>
      </w:pPr>
      <w:r>
        <w:lastRenderedPageBreak/>
        <w:tab/>
        <w:t>Rengiant 2024 m. metinį finansinių ataskaitų rinkinį reikšmingumo kriterijus – 96</w:t>
      </w:r>
      <w:r w:rsidR="00ED25A6">
        <w:t xml:space="preserve"> </w:t>
      </w:r>
      <w:r>
        <w:t xml:space="preserve">550,96 Eur, tai yra 0,1% Savivaldybės viešojo sektoriaus subjektų grupės konsoliduotojo turto. 2025 m. balandžio 1 d. buhalterinė pažyma Nr. FDV3-141 pridedama. </w:t>
      </w:r>
    </w:p>
    <w:p w14:paraId="072AF7A1" w14:textId="77777777" w:rsidR="008A6560" w:rsidRDefault="005322E1" w:rsidP="00A215E7">
      <w:pPr>
        <w:tabs>
          <w:tab w:val="left" w:pos="0"/>
          <w:tab w:val="left" w:pos="720"/>
          <w:tab w:val="left" w:pos="1620"/>
        </w:tabs>
        <w:ind w:firstLine="1247"/>
        <w:jc w:val="both"/>
      </w:pPr>
      <w:r>
        <w:tab/>
        <w:t xml:space="preserve">Savivaldybės viešojo sektoriaus subjektai užsiima viešojo administravimo, viešųjų paslaugų teikimo, sveikatos apsaugos, neformalaus ir formalaus švietimo, socialinių, kultūros paslaugų teikimo, bibliotekų, muziejaus, sporto veikla. </w:t>
      </w:r>
    </w:p>
    <w:p w14:paraId="072AF7A2" w14:textId="1C732971" w:rsidR="008A6560" w:rsidRDefault="005322E1" w:rsidP="00A215E7">
      <w:pPr>
        <w:tabs>
          <w:tab w:val="left" w:pos="720"/>
        </w:tabs>
        <w:ind w:firstLine="1247"/>
        <w:jc w:val="both"/>
      </w:pPr>
      <w:r>
        <w:tab/>
        <w:t>Savivaldybės viešojo sektoriaus subjektų grupės darbuotojų skaičius 2024 metais, palyginus su 2023 m.</w:t>
      </w:r>
      <w:r w:rsidR="00ED25A6">
        <w:t>,</w:t>
      </w:r>
      <w:r>
        <w:t xml:space="preserve"> padidėjo 34 darbuotojais ir finansinių metų pabaigoje buvo 1054 darbuotojai (2023 m. – 1020 darbuotojų). Darbuotojų padaugėjo Skuodo Bartuvos progimnazijoje – 15 darbuotojų, Skuodo </w:t>
      </w:r>
      <w:r w:rsidR="00ED25A6">
        <w:t xml:space="preserve">rajono </w:t>
      </w:r>
      <w:r>
        <w:t xml:space="preserve">Mosėdžio gimnazijoje – 14 darbuotojų, Ylakių globos namuose – 8 darbuotojai, </w:t>
      </w:r>
      <w:r w:rsidR="00ED25A6">
        <w:t>S</w:t>
      </w:r>
      <w:r>
        <w:t xml:space="preserve">avivaldybės administracijoje – 6 darbuotojai, Skuodo </w:t>
      </w:r>
      <w:r w:rsidR="00ED25A6">
        <w:t xml:space="preserve">rajono </w:t>
      </w:r>
      <w:r>
        <w:t>kultūros centre – 4 darbuotojai, Mosėdžio PSPC, Skuodo rajono Ylakių vaikų lopšelyje-darželyje ir Skuodo meno mokykloje – po 3 darbuotojus. Kitose įstaigose padidėjimas ar sumažėjimas buvo nežymus: po 1</w:t>
      </w:r>
      <w:r w:rsidR="00ED25A6">
        <w:t>–</w:t>
      </w:r>
      <w:r>
        <w:t xml:space="preserve">2 darbuotojus. </w:t>
      </w:r>
    </w:p>
    <w:p w14:paraId="072AF7A4" w14:textId="011A63B7" w:rsidR="008A6560" w:rsidRDefault="005322E1">
      <w:pPr>
        <w:tabs>
          <w:tab w:val="left" w:pos="720"/>
        </w:tabs>
        <w:spacing w:line="276" w:lineRule="auto"/>
        <w:jc w:val="both"/>
      </w:pPr>
      <w:r>
        <w:t xml:space="preserve"> </w:t>
      </w:r>
    </w:p>
    <w:p w14:paraId="072AF7A5" w14:textId="77777777" w:rsidR="008A6560" w:rsidRDefault="005322E1">
      <w:pPr>
        <w:tabs>
          <w:tab w:val="left" w:pos="720"/>
        </w:tabs>
        <w:spacing w:line="276" w:lineRule="auto"/>
        <w:jc w:val="center"/>
        <w:rPr>
          <w:b/>
        </w:rPr>
      </w:pPr>
      <w:r>
        <w:rPr>
          <w:b/>
        </w:rPr>
        <w:t>II. APSKAITOS POLITIKA</w:t>
      </w:r>
    </w:p>
    <w:p w14:paraId="072AF7A6" w14:textId="77777777" w:rsidR="008A6560" w:rsidRDefault="005322E1">
      <w:pPr>
        <w:tabs>
          <w:tab w:val="left" w:pos="720"/>
        </w:tabs>
        <w:spacing w:line="276" w:lineRule="auto"/>
        <w:jc w:val="both"/>
        <w:rPr>
          <w:b/>
        </w:rPr>
      </w:pPr>
      <w:r>
        <w:rPr>
          <w:b/>
        </w:rPr>
        <w:tab/>
      </w:r>
      <w:r>
        <w:rPr>
          <w:b/>
        </w:rPr>
        <w:tab/>
      </w:r>
    </w:p>
    <w:p w14:paraId="072AF7A7" w14:textId="2B39CDAC" w:rsidR="008A6560" w:rsidRDefault="005322E1" w:rsidP="00A215E7">
      <w:pPr>
        <w:tabs>
          <w:tab w:val="left" w:pos="720"/>
        </w:tabs>
        <w:ind w:firstLine="1247"/>
        <w:jc w:val="both"/>
      </w:pPr>
      <w:r>
        <w:rPr>
          <w:b/>
        </w:rPr>
        <w:tab/>
        <w:t>Finansinių ataskaitų rengimo pagrindas</w:t>
      </w:r>
    </w:p>
    <w:p w14:paraId="072AF7A8" w14:textId="77777777" w:rsidR="008A6560" w:rsidRDefault="005322E1" w:rsidP="00A215E7">
      <w:pPr>
        <w:tabs>
          <w:tab w:val="left" w:pos="720"/>
        </w:tabs>
        <w:ind w:firstLine="1247"/>
        <w:jc w:val="both"/>
      </w:pPr>
      <w:r>
        <w:tab/>
        <w:t xml:space="preserve">Savivaldybės metinis finansinių ataskaitų rinkinys už 2024 metus parengtas vadovaujantis Lietuvos Respublikos viešojo sektoriaus atskaitomybės įstatymu, VSAFAS ir kitais Lietuvos Respublikos teisės aktais, reglamentuojančiais viešojo sektoriaus subjektų grupių metinių finansinių ataskaitų parengimą. </w:t>
      </w:r>
    </w:p>
    <w:p w14:paraId="072AF7A9" w14:textId="77777777" w:rsidR="008A6560" w:rsidRDefault="005322E1" w:rsidP="00A215E7">
      <w:pPr>
        <w:tabs>
          <w:tab w:val="left" w:pos="720"/>
        </w:tabs>
        <w:ind w:firstLine="1247"/>
        <w:jc w:val="both"/>
      </w:pPr>
      <w:r>
        <w:tab/>
        <w:t xml:space="preserve">Šis ataskaitų rinkinys parengtas ūkinių operacijų ir įvykių apskaitai taikant kaupimo principą bei taikant vienodus apskaitos metodus panašiems sandoriams ir kitiems įvykiams panašiomis aplinkybėmis. </w:t>
      </w:r>
    </w:p>
    <w:p w14:paraId="072AF7AA" w14:textId="77777777" w:rsidR="008A6560" w:rsidRDefault="005322E1" w:rsidP="00A215E7">
      <w:pPr>
        <w:tabs>
          <w:tab w:val="left" w:pos="720"/>
        </w:tabs>
        <w:ind w:firstLine="1247"/>
        <w:jc w:val="both"/>
      </w:pPr>
      <w:r>
        <w:tab/>
      </w:r>
    </w:p>
    <w:p w14:paraId="072AF7AB" w14:textId="6394155A" w:rsidR="008A6560" w:rsidRDefault="005322E1" w:rsidP="00A215E7">
      <w:pPr>
        <w:tabs>
          <w:tab w:val="left" w:pos="720"/>
        </w:tabs>
        <w:ind w:firstLine="1247"/>
        <w:jc w:val="both"/>
        <w:rPr>
          <w:b/>
        </w:rPr>
      </w:pPr>
      <w:r>
        <w:rPr>
          <w:b/>
        </w:rPr>
        <w:tab/>
        <w:t>Finansinių ataskaitų konsolidavimo principai</w:t>
      </w:r>
    </w:p>
    <w:p w14:paraId="072AF7AC" w14:textId="77777777" w:rsidR="008A6560" w:rsidRDefault="005322E1" w:rsidP="00A215E7">
      <w:pPr>
        <w:tabs>
          <w:tab w:val="left" w:pos="720"/>
        </w:tabs>
        <w:ind w:firstLine="1247"/>
        <w:jc w:val="both"/>
      </w:pPr>
      <w:r>
        <w:tab/>
        <w:t>Rengiant metinį Savivaldybės finansinių ataskaitų rinkinį</w:t>
      </w:r>
      <w:r>
        <w:rPr>
          <w:b/>
        </w:rPr>
        <w:t xml:space="preserve">, </w:t>
      </w:r>
      <w:r>
        <w:t xml:space="preserve">konsoliduotos  tik Savivaldybės kontroliuojamų VSS finansinės ataskaitos. Konsolidavimas vykdomas sudedant finansinių ataskaitų atitinkamus straipsnius ir eliminuojant konsoliduojamų subjektų tarpusavio ūkines operacijas ir jų rezultatus. </w:t>
      </w:r>
    </w:p>
    <w:p w14:paraId="072AF7AD" w14:textId="77777777" w:rsidR="008A6560" w:rsidRDefault="008A6560" w:rsidP="00A215E7">
      <w:pPr>
        <w:tabs>
          <w:tab w:val="left" w:pos="720"/>
        </w:tabs>
        <w:ind w:firstLine="1247"/>
        <w:jc w:val="both"/>
      </w:pPr>
    </w:p>
    <w:p w14:paraId="072AF7AE" w14:textId="4303FDAE" w:rsidR="008A6560" w:rsidRDefault="005322E1" w:rsidP="00A215E7">
      <w:pPr>
        <w:tabs>
          <w:tab w:val="left" w:pos="720"/>
        </w:tabs>
        <w:ind w:firstLine="1247"/>
        <w:jc w:val="both"/>
        <w:rPr>
          <w:b/>
        </w:rPr>
      </w:pPr>
      <w:r>
        <w:rPr>
          <w:b/>
        </w:rPr>
        <w:tab/>
        <w:t xml:space="preserve">Finansinių ataskaitų valiuta </w:t>
      </w:r>
    </w:p>
    <w:p w14:paraId="072AF7AF" w14:textId="77777777" w:rsidR="008A6560" w:rsidRDefault="005322E1" w:rsidP="00A215E7">
      <w:pPr>
        <w:tabs>
          <w:tab w:val="left" w:pos="720"/>
        </w:tabs>
        <w:ind w:firstLine="1247"/>
        <w:jc w:val="both"/>
      </w:pPr>
      <w:r>
        <w:tab/>
        <w:t>Visų grupės konsoliduojamų viešojo sektoriaus subjektų informacija finansinių ataskaitų rinkiniuose pateikiama eurais. Šiame Savivaldybės metiniame finansinių ataskaitų rinkinyje duomenys pateikti tūkstančiais eurų.</w:t>
      </w:r>
    </w:p>
    <w:p w14:paraId="072AF7B0" w14:textId="77777777" w:rsidR="008A6560" w:rsidRDefault="008A6560" w:rsidP="00A215E7">
      <w:pPr>
        <w:tabs>
          <w:tab w:val="left" w:pos="720"/>
        </w:tabs>
        <w:ind w:firstLine="1247"/>
        <w:jc w:val="both"/>
      </w:pPr>
    </w:p>
    <w:p w14:paraId="072AF7B1" w14:textId="0B27C9D7" w:rsidR="008A6560" w:rsidRDefault="005322E1" w:rsidP="00A215E7">
      <w:pPr>
        <w:tabs>
          <w:tab w:val="left" w:pos="720"/>
        </w:tabs>
        <w:ind w:firstLine="1247"/>
        <w:jc w:val="both"/>
        <w:rPr>
          <w:b/>
        </w:rPr>
      </w:pPr>
      <w:r>
        <w:rPr>
          <w:b/>
        </w:rPr>
        <w:tab/>
        <w:t>Nematerialusis turtas</w:t>
      </w:r>
    </w:p>
    <w:p w14:paraId="072AF7B2" w14:textId="77777777" w:rsidR="008A6560" w:rsidRDefault="005322E1" w:rsidP="00A215E7">
      <w:pPr>
        <w:tabs>
          <w:tab w:val="left" w:pos="720"/>
        </w:tabs>
        <w:ind w:firstLine="1247"/>
        <w:jc w:val="both"/>
      </w:pPr>
      <w:r>
        <w:tab/>
        <w:t xml:space="preserve">Nematerialusis turtas  yra pripažįstamas, jei atitinka 13-ajame VSAFAS pateiktą sąvoką ir nematerialiajam turtui nustatytus kriterijus. Nematerialusis turtas pirminio pripažinimo metu apskaitoje yra registruojamas įsigijimo savikaina. </w:t>
      </w:r>
    </w:p>
    <w:p w14:paraId="072AF7B3" w14:textId="0909910C" w:rsidR="008A6560" w:rsidRDefault="005322E1" w:rsidP="00A215E7">
      <w:pPr>
        <w:tabs>
          <w:tab w:val="left" w:pos="720"/>
        </w:tabs>
        <w:ind w:firstLine="1247"/>
        <w:jc w:val="both"/>
      </w:pPr>
      <w:r>
        <w:tab/>
        <w:t xml:space="preserve">Nematerialusis turtas, gautas iš kito viešojo sektoriaus subjekto teisės aktų nustatyta tvarka, apskaitoje registruojamas tokia pačia įsigijimo savikaina, kokia jis buvo užregistruotas perduodančio viešojo sektoriaus subjekto apskaitoje, taip pat registruojama sukaupta amortizacijos suma ir sukaupta nuvertėjimo suma turto perdavimo dieną. Perėmimo metu turtas registruojamas balansine verte. Neatlygintinai gautas turtas ne iš viešojo sektoriaus subjekto arba įsigytas už simbolinį atlygį turtas apskaitoje registruojamas: įsigijimo savikaina – tikroji vertė turto įsigijimo dieną, jei tikrąją vertę įmanoma patikimai nustatyti, neatlygintinai gautas turtas apskaitoje registruojamas simboline vieno euro verte. </w:t>
      </w:r>
    </w:p>
    <w:p w14:paraId="072AF7B4" w14:textId="77777777" w:rsidR="008A6560" w:rsidRDefault="005322E1" w:rsidP="00A215E7">
      <w:pPr>
        <w:tabs>
          <w:tab w:val="left" w:pos="720"/>
        </w:tabs>
        <w:ind w:firstLine="1247"/>
        <w:jc w:val="both"/>
      </w:pPr>
      <w:r>
        <w:tab/>
        <w:t xml:space="preserve">Vėlesnės išlaidos, susijusios su jau pripažintu apskaitoje ir naudojamu nematerialiuoju turtu, didina turto įsigijimo savikainą tik tuo atveju, jei galima patikimai nustatyti, kad tokios išlaidos </w:t>
      </w:r>
      <w:r>
        <w:lastRenderedPageBreak/>
        <w:t xml:space="preserve">leis iš esmės pagerinti naudojamą nematerialųjį turtą ir gauti iš to turto didesnės ekonominės naudos ateityje, ir jeigu jos gali būti patikimai įvertintos ir priskiriamos prie konkretaus turto. </w:t>
      </w:r>
    </w:p>
    <w:p w14:paraId="072AF7B5" w14:textId="77777777" w:rsidR="008A6560" w:rsidRDefault="005322E1" w:rsidP="00A215E7">
      <w:pPr>
        <w:tabs>
          <w:tab w:val="left" w:pos="720"/>
        </w:tabs>
        <w:ind w:firstLine="1247"/>
        <w:jc w:val="both"/>
      </w:pPr>
      <w:r>
        <w:tab/>
        <w:t xml:space="preserve">Nematerialiojo turto amortizuojamoji vertė yra nuosekliai paskirstoma per visą nustatytą turto naudingo tarnavimo laiką, tiesiogiai proporcingu metodu. Kiekvienai nematerialiojo turto grupei nustatytas naudingo tarnavimo laikas pagal Vyriausybės nustatytus ir kiekvieno viešojo sektoriaus subjekto direktoriaus įsakymu patvirtintus nematerialiojo turto amortizacijos normatyvus. Finansinių metų  pabaigoje peržiūrimas turto naudingo tarnavimo laikas, likvidacinė vertė. </w:t>
      </w:r>
    </w:p>
    <w:p w14:paraId="072AF7B6" w14:textId="77777777" w:rsidR="008A6560" w:rsidRDefault="005322E1" w:rsidP="00A215E7">
      <w:pPr>
        <w:tabs>
          <w:tab w:val="left" w:pos="720"/>
        </w:tabs>
        <w:ind w:firstLine="1247"/>
        <w:jc w:val="both"/>
      </w:pPr>
      <w:r>
        <w:tab/>
        <w:t xml:space="preserve">Nematerialusis turtas nurašomas, jei jis pripažintas netinkamu (negalimu) naudoti ir nebeatitinka nematerialiojo turto požymių dėl vienos iš šių priežasčių: visiško amortizavimo ir netinkamumo naudoti, stichinės nelaimės, gaisro, trečiųjų asmenų veikos, moralinio pasenimo, sugedimo, kai taisyti netikslinga, netikslinga ar neįmanoma nematerialiojo turto parduoti viešuose prekių aukcionuose, dėl kitų priežasčių. Visiškai amortizuotas nematerialusis turtas negali būti nurašytas, jei jis dar tinkamas naudoti veikloje. </w:t>
      </w:r>
    </w:p>
    <w:p w14:paraId="072AF7B7" w14:textId="77777777" w:rsidR="008A6560" w:rsidRDefault="008A6560" w:rsidP="00A215E7">
      <w:pPr>
        <w:tabs>
          <w:tab w:val="left" w:pos="720"/>
        </w:tabs>
        <w:ind w:firstLine="1247"/>
        <w:jc w:val="both"/>
      </w:pPr>
    </w:p>
    <w:p w14:paraId="072AF7B8" w14:textId="1076F77A" w:rsidR="008A6560" w:rsidRDefault="005322E1" w:rsidP="00A215E7">
      <w:pPr>
        <w:tabs>
          <w:tab w:val="left" w:pos="720"/>
        </w:tabs>
        <w:ind w:firstLine="1247"/>
        <w:jc w:val="both"/>
        <w:rPr>
          <w:b/>
        </w:rPr>
      </w:pPr>
      <w:r>
        <w:rPr>
          <w:b/>
        </w:rPr>
        <w:tab/>
        <w:t xml:space="preserve">Ilgalaikis materialusis turtas                 </w:t>
      </w:r>
    </w:p>
    <w:p w14:paraId="072AF7B9" w14:textId="77777777" w:rsidR="008A6560" w:rsidRDefault="005322E1" w:rsidP="00A215E7">
      <w:pPr>
        <w:tabs>
          <w:tab w:val="left" w:pos="720"/>
        </w:tabs>
        <w:ind w:firstLine="1247"/>
        <w:jc w:val="both"/>
      </w:pPr>
      <w:r>
        <w:tab/>
        <w:t xml:space="preserve">Ilgalaikis materialusis turtas pripažįstamas ir registruojamas apskaitoje, jei atitinka ilgalaikio materialiojo turto sąvoką ir VSAFAS nustatytus kriterijus. Ilgalaikis materialusis turtas, išskyrus žemę, kilnojamąsias, nekilnojamąsias kultūros vertybes ir kitas vertybes, finansinėse ataskaitose yra rodomas įsigijimo savikaina, atėmus sukauptą nusidėvėjimo sumą ir turto nuvertėjimo sumą. </w:t>
      </w:r>
    </w:p>
    <w:p w14:paraId="072AF7BA" w14:textId="77777777" w:rsidR="008A6560" w:rsidRDefault="005322E1" w:rsidP="00A215E7">
      <w:pPr>
        <w:tabs>
          <w:tab w:val="left" w:pos="720"/>
        </w:tabs>
        <w:ind w:firstLine="1247"/>
        <w:jc w:val="both"/>
      </w:pPr>
      <w:r>
        <w:tab/>
        <w:t xml:space="preserve">Žemė, kilnojamosios, nekilnojamosios kultūros vertybės ir kitos vertybės, išskyrus kilnojamųjų kultūros vertybių konservavimo ir restauravimo, o nekilnojamųjų kultūros vertybių tvarkybos išlaidų dalį, kuria buvo padidinta šio ilgalaikio materialiojo turto vertė, rodomos tikrąja verte. Tikrosios vertės pokytis per ataskaitinį laikotarpį parodomas tikrosios vertės rezerve. </w:t>
      </w:r>
    </w:p>
    <w:p w14:paraId="072AF7BB" w14:textId="77777777" w:rsidR="008A6560" w:rsidRDefault="005322E1" w:rsidP="00A215E7">
      <w:pPr>
        <w:tabs>
          <w:tab w:val="left" w:pos="720"/>
        </w:tabs>
        <w:ind w:firstLine="1247"/>
        <w:jc w:val="both"/>
      </w:pPr>
      <w:r>
        <w:tab/>
        <w:t>Neriboto naudojimo laiko ilgalaikio materialiojo turto (žemė, kultūros vertybės, kitos vertybės) ir bibliotekų fondų nusidėvėjimas neskaičiuojamas.</w:t>
      </w:r>
    </w:p>
    <w:p w14:paraId="072AF7BC" w14:textId="77777777" w:rsidR="008A6560" w:rsidRDefault="005322E1" w:rsidP="00A215E7">
      <w:pPr>
        <w:tabs>
          <w:tab w:val="left" w:pos="720"/>
        </w:tabs>
        <w:ind w:firstLine="1247"/>
        <w:jc w:val="both"/>
      </w:pPr>
      <w:r>
        <w:tab/>
        <w:t>Ilgalaikio materialiojo turto nusidėvėjimas skaičiuojamas taikant tiesiogiai proporcingą (tiesinį) metodą, pagal konkrečius materialiojo turto nusidėvėjimo normatyvus, patvirtintus viešojo sektoriaus subjekto vadovo. Ilgalaikio materialiojo turto tarnavimo trukmė irgi yra tvirtinama viešojo sektoriaus subjekto vadovo įsakymu.</w:t>
      </w:r>
    </w:p>
    <w:p w14:paraId="072AF7BD" w14:textId="77777777" w:rsidR="008A6560" w:rsidRDefault="005322E1" w:rsidP="00A215E7">
      <w:pPr>
        <w:tabs>
          <w:tab w:val="left" w:pos="720"/>
        </w:tabs>
        <w:ind w:firstLine="1247"/>
        <w:jc w:val="both"/>
      </w:pPr>
      <w:r>
        <w:tab/>
        <w:t xml:space="preserve">Pelnas ar nuostoliai, gauti pardavus ilgalaikį materialųjį turtą (taip pat ir pergrupuotą į atsargas), apskaičiuojami kaip skirtumas tarp pardavimo kainos ir ilgalaikio materialiojo turto  balansinės vertės, ir konsoliduotoje veiklos rezultatų ataskaitoje įtraukiami į kitos veiklos rezultatą. </w:t>
      </w:r>
    </w:p>
    <w:p w14:paraId="072AF7BE" w14:textId="77777777" w:rsidR="008A6560" w:rsidRDefault="005322E1" w:rsidP="00A215E7">
      <w:pPr>
        <w:tabs>
          <w:tab w:val="left" w:pos="720"/>
        </w:tabs>
        <w:ind w:firstLine="1247"/>
        <w:jc w:val="both"/>
      </w:pPr>
      <w:r>
        <w:tab/>
        <w:t xml:space="preserve">Savivaldybės kontroliuojami viešojo sektoriaus subjektai finansinių ataskaitų sudarymo datai peržiūri valdomo turto balansinę vertę, kad nustatytų, ar yra kokių požymių, kad jų valdomo turto vertė sumažėjo. Jei tokių požymių yra, nustatoma turto atsiperkamoji vertė, kuri palyginama su balansine turto verte. Jei atsiperkamojo vertė mažesnė už balansinę vertę, jų skirtumai pripažįstami nuvertėjimo nuostoliais. </w:t>
      </w:r>
    </w:p>
    <w:p w14:paraId="072AF7BF" w14:textId="77777777" w:rsidR="008A6560" w:rsidRDefault="008A6560" w:rsidP="00A215E7">
      <w:pPr>
        <w:tabs>
          <w:tab w:val="left" w:pos="720"/>
        </w:tabs>
        <w:ind w:firstLine="1247"/>
        <w:jc w:val="both"/>
      </w:pPr>
    </w:p>
    <w:p w14:paraId="072AF7C0" w14:textId="3F00C9E7" w:rsidR="008A6560" w:rsidRDefault="005322E1" w:rsidP="00A215E7">
      <w:pPr>
        <w:tabs>
          <w:tab w:val="left" w:pos="720"/>
        </w:tabs>
        <w:ind w:firstLine="1247"/>
        <w:jc w:val="both"/>
        <w:rPr>
          <w:b/>
        </w:rPr>
      </w:pPr>
      <w:r>
        <w:tab/>
      </w:r>
      <w:r>
        <w:rPr>
          <w:b/>
        </w:rPr>
        <w:t xml:space="preserve">Finansinis turtas </w:t>
      </w:r>
    </w:p>
    <w:p w14:paraId="072AF7C1" w14:textId="205F22FE" w:rsidR="008A6560" w:rsidRDefault="005322E1" w:rsidP="00A215E7">
      <w:pPr>
        <w:tabs>
          <w:tab w:val="left" w:pos="720"/>
        </w:tabs>
        <w:ind w:firstLine="1247"/>
        <w:jc w:val="both"/>
      </w:pPr>
      <w:r>
        <w:rPr>
          <w:b/>
        </w:rPr>
        <w:tab/>
      </w:r>
      <w:r>
        <w:t>Finansinis turtas apskaitomas ir pripažįstamas tik tada, kai įvykdomos visos sąlygos, nustatytos 17-ajame VSAFAS. Biudžetinių įstaigų, iš</w:t>
      </w:r>
      <w:r w:rsidR="002766B2">
        <w:t>s</w:t>
      </w:r>
      <w:r>
        <w:t xml:space="preserve">kyrus </w:t>
      </w:r>
      <w:r w:rsidR="002766B2">
        <w:t>S</w:t>
      </w:r>
      <w:r>
        <w:t xml:space="preserve">avivaldybės administraciją, finansinį turtą sudaro tik trumpalaikis finansinis turtas </w:t>
      </w:r>
      <w:r w:rsidR="002766B2">
        <w:t>–</w:t>
      </w:r>
      <w:r>
        <w:t xml:space="preserve"> išankstiniai apmokėjimai, per vienus metus gautinos sumos ir pinigai bei jų ekvivalentai. </w:t>
      </w:r>
    </w:p>
    <w:p w14:paraId="072AF7C2" w14:textId="77777777" w:rsidR="008A6560" w:rsidRDefault="005322E1" w:rsidP="00A215E7">
      <w:pPr>
        <w:tabs>
          <w:tab w:val="left" w:pos="720"/>
        </w:tabs>
        <w:ind w:firstLine="1247"/>
        <w:jc w:val="both"/>
      </w:pPr>
      <w:r>
        <w:tab/>
        <w:t>Savivaldybės administracijos finansinį turtą sudaro investicijos į kontroliuojamus subjektus ir trumpalaikis finansinis turtas.</w:t>
      </w:r>
    </w:p>
    <w:p w14:paraId="072AF7C3" w14:textId="77777777" w:rsidR="008A6560" w:rsidRDefault="008A6560" w:rsidP="00A215E7">
      <w:pPr>
        <w:tabs>
          <w:tab w:val="left" w:pos="720"/>
        </w:tabs>
        <w:ind w:firstLine="1247"/>
        <w:rPr>
          <w:b/>
        </w:rPr>
      </w:pPr>
    </w:p>
    <w:p w14:paraId="072AF7C4" w14:textId="1C4E80CE" w:rsidR="008A6560" w:rsidRDefault="005322E1" w:rsidP="00A215E7">
      <w:pPr>
        <w:tabs>
          <w:tab w:val="left" w:pos="720"/>
        </w:tabs>
        <w:ind w:firstLine="1247"/>
        <w:rPr>
          <w:b/>
        </w:rPr>
      </w:pPr>
      <w:r>
        <w:rPr>
          <w:b/>
        </w:rPr>
        <w:tab/>
        <w:t>Atsargos</w:t>
      </w:r>
    </w:p>
    <w:p w14:paraId="072AF7C5" w14:textId="77777777" w:rsidR="008A6560" w:rsidRDefault="005322E1" w:rsidP="00A215E7">
      <w:pPr>
        <w:tabs>
          <w:tab w:val="left" w:pos="720"/>
        </w:tabs>
        <w:ind w:firstLine="1247"/>
        <w:jc w:val="both"/>
      </w:pPr>
      <w:r>
        <w:tab/>
        <w:t xml:space="preserve">Pirminio pripažinimo metu atsargos apskaitoje įvertinamos ir registruojamos įsigijimo (pasigaminimo) savikaina, o sudarant finansines ataskaitas – įsigijimo ar pasigaminimo savikaina ar grynąja galimo realizavimo verte, atsižvelgiant į tai, kuri iš jų mažesnė. </w:t>
      </w:r>
    </w:p>
    <w:p w14:paraId="072AF7C6" w14:textId="0A35A1FA" w:rsidR="008A6560" w:rsidRDefault="005322E1" w:rsidP="00A215E7">
      <w:pPr>
        <w:tabs>
          <w:tab w:val="left" w:pos="720"/>
        </w:tabs>
        <w:ind w:firstLine="1247"/>
        <w:jc w:val="both"/>
      </w:pPr>
      <w:r>
        <w:lastRenderedPageBreak/>
        <w:tab/>
        <w:t xml:space="preserve">Atsargų sunaudojimas arba pardavimas registruojamas taikant nuolat apskaitomų atsargų būdą, kai buhalterinėje apskaitoje registruojama kiekviena su atsargų sunaudojimu arba pardavimu susijusi operacija. </w:t>
      </w:r>
    </w:p>
    <w:p w14:paraId="072AF7C7" w14:textId="77777777" w:rsidR="008A6560" w:rsidRDefault="008A6560" w:rsidP="00A215E7">
      <w:pPr>
        <w:tabs>
          <w:tab w:val="left" w:pos="720"/>
        </w:tabs>
        <w:ind w:firstLine="1247"/>
        <w:jc w:val="both"/>
      </w:pPr>
    </w:p>
    <w:p w14:paraId="072AF7C8" w14:textId="0AB0292B" w:rsidR="008A6560" w:rsidRDefault="005322E1" w:rsidP="00A215E7">
      <w:pPr>
        <w:tabs>
          <w:tab w:val="left" w:pos="720"/>
        </w:tabs>
        <w:ind w:firstLine="1247"/>
        <w:rPr>
          <w:b/>
        </w:rPr>
      </w:pPr>
      <w:r>
        <w:rPr>
          <w:b/>
        </w:rPr>
        <w:tab/>
        <w:t xml:space="preserve">Biologinis turtas </w:t>
      </w:r>
    </w:p>
    <w:p w14:paraId="072AF7C9" w14:textId="77777777" w:rsidR="008A6560" w:rsidRDefault="005322E1" w:rsidP="00A215E7">
      <w:pPr>
        <w:tabs>
          <w:tab w:val="left" w:pos="720"/>
        </w:tabs>
        <w:ind w:firstLine="1247"/>
        <w:jc w:val="both"/>
      </w:pPr>
      <w:r>
        <w:tab/>
        <w:t xml:space="preserve">Biologinis turtas ir mineraliniai ištekliai pripažįstami ir registruojami apskaitoje, jeigu atitinka 16-ajame VSAFAS nurodytus turto pripažinimo kriterijus. Pirminio pripažinimo ir paskesnio vertinimo metu ne žemės ūkio veikloje naudojamo biologinio turto grupės vienetas apskaitoje registruojamas tikrąja verte. Kai tikroji vertė ir įsigijimo ar pasigaminimo savikaina negali patikimai nustatytos, turtas apskaitoje registruojamas simboline vieno euro verte. </w:t>
      </w:r>
    </w:p>
    <w:p w14:paraId="072AF7CA" w14:textId="77777777" w:rsidR="008A6560" w:rsidRDefault="008A6560">
      <w:pPr>
        <w:tabs>
          <w:tab w:val="left" w:pos="720"/>
        </w:tabs>
        <w:spacing w:line="276" w:lineRule="auto"/>
        <w:jc w:val="both"/>
      </w:pPr>
    </w:p>
    <w:p w14:paraId="072AF7CB" w14:textId="2328114B" w:rsidR="008A6560" w:rsidRDefault="005322E1" w:rsidP="00A215E7">
      <w:pPr>
        <w:tabs>
          <w:tab w:val="left" w:pos="720"/>
        </w:tabs>
        <w:ind w:firstLine="1247"/>
        <w:rPr>
          <w:b/>
        </w:rPr>
      </w:pPr>
      <w:r>
        <w:rPr>
          <w:b/>
        </w:rPr>
        <w:tab/>
        <w:t>Išankstiniai apmokėjimai</w:t>
      </w:r>
    </w:p>
    <w:p w14:paraId="072AF7CC" w14:textId="77777777" w:rsidR="008A6560" w:rsidRDefault="005322E1" w:rsidP="00A215E7">
      <w:pPr>
        <w:tabs>
          <w:tab w:val="left" w:pos="720"/>
        </w:tabs>
        <w:ind w:firstLine="1247"/>
        <w:jc w:val="both"/>
      </w:pPr>
      <w:r>
        <w:tab/>
        <w:t xml:space="preserve">Konsoliduotosios finansinės būklės ataskaitos straipsnyje „Išankstiniai apmokėjimai“ rodomos: </w:t>
      </w:r>
    </w:p>
    <w:p w14:paraId="072AF7CD" w14:textId="77777777" w:rsidR="008A6560" w:rsidRDefault="005322E1" w:rsidP="00A215E7">
      <w:pPr>
        <w:numPr>
          <w:ilvl w:val="0"/>
          <w:numId w:val="5"/>
        </w:numPr>
        <w:tabs>
          <w:tab w:val="left" w:pos="0"/>
          <w:tab w:val="left" w:pos="720"/>
        </w:tabs>
        <w:ind w:left="0" w:firstLine="1077"/>
        <w:jc w:val="both"/>
      </w:pPr>
      <w:r>
        <w:t xml:space="preserve">Iš anksto sumokėtos sumos už atsargas, paslaugas, kurios bus suteiktos per 12 mėnesių nuo paskutinės ataskaitinio laikotarpio dienos, ir kitą trumpalaikį turtą; </w:t>
      </w:r>
    </w:p>
    <w:p w14:paraId="072AF7CE" w14:textId="77777777" w:rsidR="008A6560" w:rsidRDefault="005322E1" w:rsidP="00A215E7">
      <w:pPr>
        <w:numPr>
          <w:ilvl w:val="0"/>
          <w:numId w:val="5"/>
        </w:numPr>
        <w:tabs>
          <w:tab w:val="left" w:pos="0"/>
          <w:tab w:val="left" w:pos="720"/>
        </w:tabs>
        <w:ind w:left="0" w:firstLine="1077"/>
        <w:jc w:val="both"/>
      </w:pPr>
      <w:r>
        <w:t xml:space="preserve">Ateinančių laikotarpių sąnaudos (prenumeratos, nuomos ir kt.) – sumos, sumokėtos (užregistruotos apskaitoje) einamuoju ir ankstesniu laikotarpiais, kurios bus pripažintos sąnaudomis ateinančiais ataskaitiniais laikotarpiais. </w:t>
      </w:r>
    </w:p>
    <w:p w14:paraId="072AF7CF" w14:textId="77777777" w:rsidR="008A6560" w:rsidRDefault="008A6560">
      <w:pPr>
        <w:tabs>
          <w:tab w:val="left" w:pos="720"/>
        </w:tabs>
        <w:spacing w:line="276" w:lineRule="auto"/>
        <w:jc w:val="both"/>
      </w:pPr>
    </w:p>
    <w:p w14:paraId="072AF7D0" w14:textId="532C2656" w:rsidR="008A6560" w:rsidRDefault="005322E1" w:rsidP="00A215E7">
      <w:pPr>
        <w:tabs>
          <w:tab w:val="left" w:pos="720"/>
        </w:tabs>
        <w:ind w:firstLine="1247"/>
        <w:jc w:val="both"/>
        <w:rPr>
          <w:b/>
        </w:rPr>
      </w:pPr>
      <w:r>
        <w:rPr>
          <w:b/>
        </w:rPr>
        <w:tab/>
        <w:t xml:space="preserve">Per vienus metus gautinos sumos </w:t>
      </w:r>
    </w:p>
    <w:p w14:paraId="072AF7D1" w14:textId="179593CE" w:rsidR="008A6560" w:rsidRDefault="005322E1" w:rsidP="00A215E7">
      <w:pPr>
        <w:tabs>
          <w:tab w:val="left" w:pos="720"/>
        </w:tabs>
        <w:ind w:firstLine="1247"/>
        <w:jc w:val="both"/>
      </w:pPr>
      <w:r>
        <w:tab/>
        <w:t xml:space="preserve">Per vienus metus gautinos sumos – per 12 mėn. nuo paskutinės ataskaitinio laikotarpio dienos gautinos sumos. Šios sumos konsoliduotoje finansinės būklės ataskaitoje rodomos verte, apskaičiuojama iš jų įsigijimo savikainos atėmus įvertintas neatgautinas sumas. Per vienus metus gautinos sumos skirstomos į: </w:t>
      </w:r>
    </w:p>
    <w:p w14:paraId="072AF7D2" w14:textId="11289CE2" w:rsidR="008A6560" w:rsidRDefault="005322E1" w:rsidP="00A215E7">
      <w:pPr>
        <w:numPr>
          <w:ilvl w:val="0"/>
          <w:numId w:val="1"/>
        </w:numPr>
        <w:tabs>
          <w:tab w:val="left" w:pos="0"/>
          <w:tab w:val="left" w:pos="720"/>
          <w:tab w:val="left" w:pos="1620"/>
        </w:tabs>
        <w:ind w:left="0" w:firstLine="1259"/>
        <w:jc w:val="both"/>
      </w:pPr>
      <w:r>
        <w:t>Gautinas trumpalaikes finansines sumas (po vienų metų gautinų einamųjų metų dalis, kurias sudaro ilgalaikių paskolų ir kitų ilgalaikių gautinų sumų einamųjų metų dalis bei gautinos trumpalaikės finansinės sumos, kurias sudaro trumpalaikės paskolos ir kitos gautinos trumpalaikės finansinės sumos</w:t>
      </w:r>
      <w:r w:rsidR="002766B2">
        <w:t>).</w:t>
      </w:r>
      <w:r>
        <w:t xml:space="preserve"> </w:t>
      </w:r>
    </w:p>
    <w:p w14:paraId="072AF7D3" w14:textId="5E1748E4" w:rsidR="008A6560" w:rsidRDefault="005322E1" w:rsidP="00A215E7">
      <w:pPr>
        <w:numPr>
          <w:ilvl w:val="0"/>
          <w:numId w:val="1"/>
        </w:numPr>
        <w:tabs>
          <w:tab w:val="left" w:pos="0"/>
          <w:tab w:val="left" w:pos="720"/>
          <w:tab w:val="left" w:pos="1800"/>
        </w:tabs>
        <w:ind w:left="0" w:firstLine="1259"/>
        <w:jc w:val="both"/>
      </w:pPr>
      <w:r>
        <w:t>Gautinus mokesčius ir socialines įmokas</w:t>
      </w:r>
      <w:r w:rsidR="002766B2">
        <w:t>.</w:t>
      </w:r>
    </w:p>
    <w:p w14:paraId="072AF7D4" w14:textId="3E5434E9" w:rsidR="008A6560" w:rsidRDefault="005322E1" w:rsidP="00A215E7">
      <w:pPr>
        <w:numPr>
          <w:ilvl w:val="0"/>
          <w:numId w:val="1"/>
        </w:numPr>
        <w:tabs>
          <w:tab w:val="left" w:pos="0"/>
          <w:tab w:val="left" w:pos="720"/>
          <w:tab w:val="left" w:pos="1800"/>
        </w:tabs>
        <w:ind w:left="0" w:firstLine="1259"/>
        <w:jc w:val="both"/>
      </w:pPr>
      <w:r>
        <w:t>Gautinas finansavimo sumas</w:t>
      </w:r>
      <w:r w:rsidR="002766B2">
        <w:t>.</w:t>
      </w:r>
      <w:r>
        <w:t xml:space="preserve"> </w:t>
      </w:r>
    </w:p>
    <w:p w14:paraId="072AF7D5" w14:textId="3F7E9F91" w:rsidR="008A6560" w:rsidRDefault="005322E1" w:rsidP="00A215E7">
      <w:pPr>
        <w:numPr>
          <w:ilvl w:val="0"/>
          <w:numId w:val="1"/>
        </w:numPr>
        <w:tabs>
          <w:tab w:val="left" w:pos="0"/>
          <w:tab w:val="left" w:pos="720"/>
          <w:tab w:val="left" w:pos="1800"/>
        </w:tabs>
        <w:ind w:left="0" w:firstLine="1259"/>
        <w:jc w:val="both"/>
      </w:pPr>
      <w:r>
        <w:t>Gautinas sumas už turto naudojimą, parduotas prekes, turtą, paslaugas</w:t>
      </w:r>
      <w:r w:rsidR="002766B2">
        <w:t>.</w:t>
      </w:r>
    </w:p>
    <w:p w14:paraId="072AF7D6" w14:textId="77BC5E1B" w:rsidR="008A6560" w:rsidRDefault="005322E1" w:rsidP="00A215E7">
      <w:pPr>
        <w:numPr>
          <w:ilvl w:val="0"/>
          <w:numId w:val="1"/>
        </w:numPr>
        <w:tabs>
          <w:tab w:val="left" w:pos="0"/>
          <w:tab w:val="left" w:pos="720"/>
          <w:tab w:val="left" w:pos="1800"/>
        </w:tabs>
        <w:ind w:left="0" w:firstLine="1259"/>
        <w:jc w:val="both"/>
      </w:pPr>
      <w:r>
        <w:t>Sukauptas gautinas sumas</w:t>
      </w:r>
      <w:r w:rsidR="002766B2">
        <w:t>.</w:t>
      </w:r>
      <w:r>
        <w:t xml:space="preserve"> </w:t>
      </w:r>
    </w:p>
    <w:p w14:paraId="072AF7D7" w14:textId="6CD2E04D" w:rsidR="008A6560" w:rsidRDefault="005322E1" w:rsidP="00A215E7">
      <w:pPr>
        <w:numPr>
          <w:ilvl w:val="0"/>
          <w:numId w:val="1"/>
        </w:numPr>
        <w:tabs>
          <w:tab w:val="left" w:pos="0"/>
          <w:tab w:val="left" w:pos="720"/>
          <w:tab w:val="left" w:pos="1800"/>
        </w:tabs>
        <w:ind w:left="0" w:firstLine="1259"/>
        <w:jc w:val="both"/>
      </w:pPr>
      <w:r>
        <w:t>Kitas gautinas sumas (pvz.</w:t>
      </w:r>
      <w:r w:rsidR="002766B2">
        <w:t>,</w:t>
      </w:r>
      <w:r>
        <w:t xml:space="preserve"> gautinos sumos iš rinkliavų, už prarastą turtą, atskaitingų asmenų grąžintinos sumos, gautini veiklos mokesčiai, palūkanos, dividendai, gautinos grąžintinos finansavimo sumos ir kt.). </w:t>
      </w:r>
    </w:p>
    <w:p w14:paraId="4D255F28" w14:textId="77777777" w:rsidR="006306D4" w:rsidRDefault="006306D4">
      <w:pPr>
        <w:tabs>
          <w:tab w:val="left" w:pos="720"/>
        </w:tabs>
        <w:spacing w:line="276" w:lineRule="auto"/>
        <w:jc w:val="both"/>
      </w:pPr>
    </w:p>
    <w:p w14:paraId="072AF7D9" w14:textId="14055F89" w:rsidR="008A6560" w:rsidRDefault="006306D4" w:rsidP="00A215E7">
      <w:pPr>
        <w:tabs>
          <w:tab w:val="left" w:pos="720"/>
        </w:tabs>
        <w:ind w:firstLine="1247"/>
        <w:jc w:val="both"/>
        <w:rPr>
          <w:b/>
        </w:rPr>
      </w:pPr>
      <w:r>
        <w:rPr>
          <w:b/>
        </w:rPr>
        <w:t xml:space="preserve">Pinigai ir pinigų ekvivalentai </w:t>
      </w:r>
    </w:p>
    <w:p w14:paraId="072AF7DA" w14:textId="2D2EC12B" w:rsidR="008A6560" w:rsidRDefault="005322E1" w:rsidP="00A215E7">
      <w:pPr>
        <w:tabs>
          <w:tab w:val="left" w:pos="720"/>
        </w:tabs>
        <w:ind w:firstLine="1247"/>
        <w:jc w:val="both"/>
      </w:pPr>
      <w:r>
        <w:t xml:space="preserve">Pinigai – pinigai, esantys kasoje, bankų sąskaitose ir pervesti, bet dar negauti pinigai. Pinigų ekvivalentai – trumpalaikės (iki 3 mėn.) likvidžios investicijos, kurios gali būti greitai iškeičiamos į tam tikras pinigų sumas ir kurių vertės pokyčio rizika yra nereikšminga. </w:t>
      </w:r>
    </w:p>
    <w:p w14:paraId="072AF7DB" w14:textId="75B56383" w:rsidR="008A6560" w:rsidRDefault="005322E1" w:rsidP="00A215E7">
      <w:pPr>
        <w:tabs>
          <w:tab w:val="left" w:pos="720"/>
        </w:tabs>
        <w:ind w:firstLine="1247"/>
        <w:jc w:val="both"/>
      </w:pPr>
      <w:r>
        <w:t>Pinigai ir pinigų ekvivalentai priskiriami prie trumpalaikio turto, tačiau jei pinigų ir jų ekvivalentų naudojimo arba disponavimo jais laikas apribojamas ilgiau nei 12 mėn.</w:t>
      </w:r>
      <w:r w:rsidR="002766B2">
        <w:t>,</w:t>
      </w:r>
      <w:r>
        <w:t xml:space="preserve"> skaičiuojant nuo paskutinės einamojo ataskaitinio laikotarpio dienos, jie priskiriami prie ilgalaikio finansinio turto (pvz.</w:t>
      </w:r>
      <w:r w:rsidR="002766B2">
        <w:t>,</w:t>
      </w:r>
      <w:r>
        <w:t xml:space="preserve"> ilgalaikiai indėliai, pinigai, kuriais negalima laikinai disponuoti ilgiau nei 12 mėn.). </w:t>
      </w:r>
    </w:p>
    <w:p w14:paraId="072AF7DC" w14:textId="77777777" w:rsidR="008A6560" w:rsidRDefault="008A6560" w:rsidP="00A215E7">
      <w:pPr>
        <w:tabs>
          <w:tab w:val="left" w:pos="720"/>
        </w:tabs>
        <w:ind w:firstLine="1247"/>
        <w:jc w:val="both"/>
      </w:pPr>
    </w:p>
    <w:p w14:paraId="072AF7DD" w14:textId="4AB79113" w:rsidR="008A6560" w:rsidRDefault="005322E1" w:rsidP="00A215E7">
      <w:pPr>
        <w:tabs>
          <w:tab w:val="left" w:pos="720"/>
        </w:tabs>
        <w:ind w:firstLine="1247"/>
        <w:jc w:val="both"/>
        <w:rPr>
          <w:b/>
        </w:rPr>
      </w:pPr>
      <w:r>
        <w:rPr>
          <w:b/>
        </w:rPr>
        <w:t xml:space="preserve">Turto perdavimo sutartys </w:t>
      </w:r>
    </w:p>
    <w:p w14:paraId="072AF7DE" w14:textId="7F4562BC" w:rsidR="008A6560" w:rsidRDefault="005322E1" w:rsidP="00A215E7">
      <w:pPr>
        <w:tabs>
          <w:tab w:val="left" w:pos="720"/>
        </w:tabs>
        <w:ind w:firstLine="1247"/>
        <w:jc w:val="both"/>
      </w:pPr>
      <w:r>
        <w:t xml:space="preserve">Veiklos nuomos mokesčiai nuomininko pripažįstami sąnaudomis tolygiai per nuomos laikotarpį. Veiklos nuomos sąnaudos paskirstomos tolygiai per nuomos laikotarpį ir tuo atveju, kai nuomos mokestis nustatomas nelygiomis sumomis. </w:t>
      </w:r>
    </w:p>
    <w:p w14:paraId="072AF7DF" w14:textId="23E9C886" w:rsidR="008A6560" w:rsidRDefault="005322E1" w:rsidP="00A215E7">
      <w:pPr>
        <w:tabs>
          <w:tab w:val="left" w:pos="720"/>
        </w:tabs>
        <w:ind w:firstLine="1247"/>
        <w:jc w:val="both"/>
      </w:pPr>
      <w:r>
        <w:lastRenderedPageBreak/>
        <w:t xml:space="preserve">Išsinuomoto turto paprastojo remonto ir eksploatavimo išlaidos pripažįstamos sąnaudomis. Išsinuomoto turto esminio pagerinimo išlaidos registruojamos kaip atskiras turto vienetas ir pripažįstamas sąnaudomis per likusį nuomos laikotarpį, jeigu tų išlaidų nuomotojas nekompensuoja. </w:t>
      </w:r>
    </w:p>
    <w:p w14:paraId="072AF7E0" w14:textId="5ABE8AD4" w:rsidR="008A6560" w:rsidRDefault="005322E1" w:rsidP="00A215E7">
      <w:pPr>
        <w:tabs>
          <w:tab w:val="left" w:pos="720"/>
        </w:tabs>
        <w:ind w:firstLine="1247"/>
        <w:jc w:val="both"/>
        <w:rPr>
          <w:i/>
        </w:rPr>
      </w:pPr>
      <w:r>
        <w:rPr>
          <w:i/>
        </w:rPr>
        <w:t xml:space="preserve">Panauda. </w:t>
      </w:r>
    </w:p>
    <w:p w14:paraId="072AF7E1" w14:textId="5AE0D229" w:rsidR="008A6560" w:rsidRDefault="005322E1" w:rsidP="00A215E7">
      <w:pPr>
        <w:tabs>
          <w:tab w:val="left" w:pos="720"/>
        </w:tabs>
        <w:ind w:firstLine="1247"/>
        <w:jc w:val="both"/>
      </w:pPr>
      <w:r>
        <w:t xml:space="preserve">Turtas, gautas pagal panaudos sutartis, registruojamas nebalansinėse sąskaitose turto kontrolei užtikrinti. Pagal panaudos sutartį gauto turto paprastojo remonto ir eksploatavimo išlaidos pripažįstamos sąnaudomis; esminio pagerinimo išlaidos registruojamos kaip atskiras turto vienetas ir pripažįstamas sąnaudomis per likusį panaudos laikotarpį, jeigu tų išlaidų panaudos davėjas nekompensuoja. Pagal panaudos sutartį perduoto turto ir jo nusidėvėjimo bei jo sąnaudų apskaitą tvarko ir finansinėse ataskaitose rodo panaudos davėjas. Pažymėtina, kad informacinėje konsolidavimo sistemoje VSAKIS panaudos davėjų ir gavėjų sumos daugeliu atveju nesutampa. </w:t>
      </w:r>
    </w:p>
    <w:p w14:paraId="072AF7E2" w14:textId="7DEB655A" w:rsidR="008A6560" w:rsidRDefault="005322E1" w:rsidP="00A215E7">
      <w:pPr>
        <w:tabs>
          <w:tab w:val="left" w:pos="720"/>
        </w:tabs>
        <w:ind w:firstLine="1247"/>
        <w:jc w:val="both"/>
        <w:rPr>
          <w:i/>
        </w:rPr>
      </w:pPr>
      <w:r>
        <w:rPr>
          <w:i/>
        </w:rPr>
        <w:t>Patikėjimo teisė</w:t>
      </w:r>
    </w:p>
    <w:p w14:paraId="072AF7E3" w14:textId="4A9C3491" w:rsidR="008A6560" w:rsidRDefault="005322E1" w:rsidP="00A215E7">
      <w:pPr>
        <w:tabs>
          <w:tab w:val="left" w:pos="720"/>
        </w:tabs>
        <w:ind w:firstLine="1247"/>
        <w:jc w:val="both"/>
      </w:pPr>
      <w:r>
        <w:t xml:space="preserve">Turtas, valdomas patikėjimo teise, registruojamas apskaitoje ir rodomas </w:t>
      </w:r>
      <w:r w:rsidR="002766B2">
        <w:t>S</w:t>
      </w:r>
      <w:r>
        <w:t xml:space="preserve">avivaldybės konsoliduotose finansinėse ataskaitose remiantis tais pačiais principais kaip ir nuosavybės teise valdomas turtas. </w:t>
      </w:r>
    </w:p>
    <w:p w14:paraId="072AF7E4" w14:textId="77777777" w:rsidR="008A6560" w:rsidRDefault="008A6560" w:rsidP="00A215E7">
      <w:pPr>
        <w:tabs>
          <w:tab w:val="left" w:pos="720"/>
        </w:tabs>
        <w:ind w:firstLine="1247"/>
        <w:jc w:val="both"/>
      </w:pPr>
    </w:p>
    <w:p w14:paraId="072AF7E5" w14:textId="659976B7" w:rsidR="008A6560" w:rsidRDefault="005322E1" w:rsidP="00A215E7">
      <w:pPr>
        <w:tabs>
          <w:tab w:val="left" w:pos="720"/>
        </w:tabs>
        <w:ind w:firstLine="1247"/>
        <w:jc w:val="both"/>
        <w:rPr>
          <w:b/>
        </w:rPr>
      </w:pPr>
      <w:r>
        <w:rPr>
          <w:b/>
        </w:rPr>
        <w:t xml:space="preserve">Finansavimo sumos, finansavimo pajamos ir finansavimo sąnaudos  </w:t>
      </w:r>
    </w:p>
    <w:p w14:paraId="072AF7E6" w14:textId="4B6C34BA" w:rsidR="008A6560" w:rsidRDefault="005322E1" w:rsidP="00A215E7">
      <w:pPr>
        <w:tabs>
          <w:tab w:val="left" w:pos="720"/>
        </w:tabs>
        <w:ind w:firstLine="1247"/>
        <w:jc w:val="both"/>
      </w:pPr>
      <w:r>
        <w:t xml:space="preserve">Finansinėse ataskaitose finansavimo sumų (toliau – FS) straipsnyje parodomas viešojo sektoriaus subjektų  gautas finansavimas iš </w:t>
      </w:r>
      <w:r w:rsidR="002766B2">
        <w:t>S</w:t>
      </w:r>
      <w:r>
        <w:t xml:space="preserve">avivaldybės ir valstybės  biudžetų, iš ES, užsienio valstybių ir tarptautinių organizacijų ir iš kitų šaltinių. </w:t>
      </w:r>
    </w:p>
    <w:p w14:paraId="072AF7E7" w14:textId="112FB324" w:rsidR="008A6560" w:rsidRDefault="005322E1" w:rsidP="00A215E7">
      <w:pPr>
        <w:tabs>
          <w:tab w:val="left" w:pos="720"/>
        </w:tabs>
        <w:ind w:firstLine="1247"/>
        <w:jc w:val="both"/>
      </w:pPr>
      <w:r>
        <w:t xml:space="preserve">Kai Savivaldybės kontroliuojami subjektai padaro sąnaudas, kurios finansuojamos iš </w:t>
      </w:r>
      <w:r w:rsidR="002766B2">
        <w:t>S</w:t>
      </w:r>
      <w:r>
        <w:t xml:space="preserve">avivaldybės gaunamų FS, jų sumai pripažįstamos finansavimo pajamos. Jei FS jau gautos, kartu registruojamas FS panaudojimas, jei bus gautos – kartu registruojamos sukauptos finansavimo pajamos. </w:t>
      </w:r>
    </w:p>
    <w:p w14:paraId="072AF7E8" w14:textId="6DF8314F" w:rsidR="008A6560" w:rsidRDefault="005322E1" w:rsidP="00A215E7">
      <w:pPr>
        <w:tabs>
          <w:tab w:val="left" w:pos="720"/>
        </w:tabs>
        <w:ind w:firstLine="1247"/>
        <w:jc w:val="both"/>
      </w:pPr>
      <w:r>
        <w:t xml:space="preserve">Finansavimo sąnaudos registruojamos šiais atvejais: jei </w:t>
      </w:r>
      <w:r w:rsidR="002766B2">
        <w:t>S</w:t>
      </w:r>
      <w:r>
        <w:t xml:space="preserve">avivaldybė uždirbo pajamų, kurias skyrė finansuoti viešojo sektoriaus ir (arba) ne viešojo sektoriaus turto įsigijimui ar kitoms išlaidoms; </w:t>
      </w:r>
      <w:r w:rsidR="002766B2">
        <w:t>S</w:t>
      </w:r>
      <w:r>
        <w:t>avivaldybė perdavė gautas FS ne viešojo sektoriaus subjektui. FS pripažįstamos finansavimo pajamomis  tais laikotarpiais, kuriais padaromos sąnaudos, kurioms kompensuoti buvo skirtos FS, t.</w:t>
      </w:r>
      <w:r w:rsidR="002766B2">
        <w:t xml:space="preserve"> </w:t>
      </w:r>
      <w:r>
        <w:t xml:space="preserve">y. kai jos panaudojamos. </w:t>
      </w:r>
    </w:p>
    <w:p w14:paraId="072AF7E9" w14:textId="65889D9B" w:rsidR="008A6560" w:rsidRDefault="005322E1" w:rsidP="00A215E7">
      <w:pPr>
        <w:tabs>
          <w:tab w:val="left" w:pos="720"/>
        </w:tabs>
        <w:ind w:firstLine="1247"/>
        <w:jc w:val="both"/>
      </w:pPr>
      <w:r>
        <w:t xml:space="preserve">Jeigu pagal sutartį, išskyrus finansavimo ar paramos sutartį, padarytas išlaidas kompensuoja kitas viešojo sektoriaus subjektas, tokia kompensacija nelaikoma FS ir registruojama kaip sąnaudų sumažinimas arba suteiktų paslaugų pajamomis, atsižvelgiant į sutarties sąlygas. </w:t>
      </w:r>
    </w:p>
    <w:p w14:paraId="072AF7EA" w14:textId="45133187" w:rsidR="008A6560" w:rsidRDefault="005322E1" w:rsidP="00A215E7">
      <w:pPr>
        <w:tabs>
          <w:tab w:val="left" w:pos="720"/>
        </w:tabs>
        <w:ind w:firstLine="1247"/>
        <w:jc w:val="both"/>
      </w:pPr>
      <w:r>
        <w:t xml:space="preserve">Savivaldybė, gaunanti FS, kurias perduoda kitiems viešojo sektoriaus subjektams arba panaudoja savo kontroliuojamų viešojo sektoriaus subjektų veiklai finansuoti, finansavimo sąnaudų neturi. </w:t>
      </w:r>
    </w:p>
    <w:p w14:paraId="072AF7EB" w14:textId="0C5FE94E" w:rsidR="008A6560" w:rsidRDefault="005322E1" w:rsidP="00A215E7">
      <w:pPr>
        <w:tabs>
          <w:tab w:val="left" w:pos="720"/>
        </w:tabs>
        <w:ind w:firstLine="1247"/>
        <w:jc w:val="both"/>
        <w:rPr>
          <w:b/>
        </w:rPr>
      </w:pPr>
      <w:r>
        <w:rPr>
          <w:b/>
        </w:rPr>
        <w:t xml:space="preserve">Finansiniai įsipareigojimai </w:t>
      </w:r>
    </w:p>
    <w:p w14:paraId="072AF7EC" w14:textId="5685FFF8" w:rsidR="008A6560" w:rsidRDefault="005322E1" w:rsidP="00A215E7">
      <w:pPr>
        <w:tabs>
          <w:tab w:val="left" w:pos="720"/>
        </w:tabs>
        <w:ind w:firstLine="1247"/>
        <w:jc w:val="both"/>
        <w:rPr>
          <w:bCs/>
        </w:rPr>
      </w:pPr>
      <w:r>
        <w:rPr>
          <w:bCs/>
        </w:rPr>
        <w:t>Finansinių įsipareigojimų apskaitos principai, metodai ir taisyklės, kuriais vadovaujamasi, yra nustatyti 17-ajame VSAFAS „Finansinis turtas ir finansiniai įsipareigojimai</w:t>
      </w:r>
      <w:r w:rsidR="002766B2">
        <w:rPr>
          <w:bCs/>
        </w:rPr>
        <w:t>“</w:t>
      </w:r>
      <w:r>
        <w:rPr>
          <w:bCs/>
        </w:rPr>
        <w:t xml:space="preserve">, 18-ajame VSAFAS „Atidėjiniai, neapibrėžtieji įsipareigojimai, neapibrėžtasis turtas ir </w:t>
      </w:r>
      <w:proofErr w:type="spellStart"/>
      <w:r>
        <w:rPr>
          <w:bCs/>
        </w:rPr>
        <w:t>poataskaitiniai</w:t>
      </w:r>
      <w:proofErr w:type="spellEnd"/>
      <w:r>
        <w:rPr>
          <w:bCs/>
        </w:rPr>
        <w:t>, įvykai</w:t>
      </w:r>
      <w:r w:rsidR="002766B2">
        <w:rPr>
          <w:bCs/>
        </w:rPr>
        <w:t>“</w:t>
      </w:r>
      <w:r>
        <w:rPr>
          <w:bCs/>
        </w:rPr>
        <w:t xml:space="preserve"> ir 24-ajame VSAFAS „Su darbo santykiais susijusios išmokos</w:t>
      </w:r>
      <w:r w:rsidR="002766B2">
        <w:rPr>
          <w:bCs/>
        </w:rPr>
        <w:t>“</w:t>
      </w:r>
      <w:r>
        <w:rPr>
          <w:bCs/>
        </w:rPr>
        <w:t xml:space="preserve">. </w:t>
      </w:r>
    </w:p>
    <w:p w14:paraId="072AF7ED" w14:textId="6DB9B47E" w:rsidR="008A6560" w:rsidRDefault="005322E1" w:rsidP="00A215E7">
      <w:pPr>
        <w:tabs>
          <w:tab w:val="left" w:pos="720"/>
        </w:tabs>
        <w:ind w:firstLine="1247"/>
        <w:jc w:val="both"/>
      </w:pPr>
      <w:r>
        <w:t xml:space="preserve">Viešojo sektoriaus subjektų grupės finansinėse ataskaitose finansiniai įsipareigojimai (išskyrus trumpalaikius, kurie nesusiję su rinkos kainomis) parodomi taip: </w:t>
      </w:r>
    </w:p>
    <w:p w14:paraId="072AF7EE" w14:textId="40023051" w:rsidR="008A6560" w:rsidRDefault="005322E1" w:rsidP="00A215E7">
      <w:pPr>
        <w:numPr>
          <w:ilvl w:val="0"/>
          <w:numId w:val="6"/>
        </w:numPr>
        <w:tabs>
          <w:tab w:val="clear" w:pos="1298"/>
          <w:tab w:val="left" w:pos="1800"/>
        </w:tabs>
        <w:ind w:firstLine="540"/>
        <w:jc w:val="both"/>
      </w:pPr>
      <w:r>
        <w:t>Finansiniai įsipareigojimai, susiję su rinkos kainomis – tikrąj</w:t>
      </w:r>
      <w:r w:rsidR="00E527C6">
        <w:t>a</w:t>
      </w:r>
      <w:r>
        <w:t xml:space="preserve"> verte</w:t>
      </w:r>
      <w:r w:rsidR="00E527C6">
        <w:t>.</w:t>
      </w:r>
    </w:p>
    <w:p w14:paraId="072AF7EF" w14:textId="084E3918" w:rsidR="008A6560" w:rsidRDefault="005322E1" w:rsidP="00A215E7">
      <w:pPr>
        <w:numPr>
          <w:ilvl w:val="0"/>
          <w:numId w:val="6"/>
        </w:numPr>
        <w:tabs>
          <w:tab w:val="clear" w:pos="1298"/>
          <w:tab w:val="left" w:pos="1800"/>
        </w:tabs>
        <w:ind w:firstLine="540"/>
        <w:jc w:val="both"/>
      </w:pPr>
      <w:r>
        <w:t>Iš suteiktų garantijų kilę finansiniai įsipareigojimai – tikrąja verte</w:t>
      </w:r>
      <w:r w:rsidR="00E527C6">
        <w:t>.</w:t>
      </w:r>
      <w:r>
        <w:t xml:space="preserve"> </w:t>
      </w:r>
    </w:p>
    <w:p w14:paraId="072AF7F0" w14:textId="3BF0EFD0" w:rsidR="008A6560" w:rsidRDefault="005322E1" w:rsidP="00A215E7">
      <w:pPr>
        <w:numPr>
          <w:ilvl w:val="0"/>
          <w:numId w:val="6"/>
        </w:numPr>
        <w:tabs>
          <w:tab w:val="clear" w:pos="1298"/>
          <w:tab w:val="left" w:pos="1800"/>
        </w:tabs>
        <w:ind w:firstLine="540"/>
        <w:jc w:val="both"/>
      </w:pPr>
      <w:r>
        <w:t>Kiti ilgalaikiai finansiniai įsipareigojimai – amortizuota savikaina</w:t>
      </w:r>
      <w:r w:rsidR="00E527C6">
        <w:t>.</w:t>
      </w:r>
      <w:r>
        <w:t xml:space="preserve"> </w:t>
      </w:r>
    </w:p>
    <w:p w14:paraId="072AF7F1" w14:textId="252CCAD7" w:rsidR="008A6560" w:rsidRDefault="005322E1" w:rsidP="00A215E7">
      <w:pPr>
        <w:numPr>
          <w:ilvl w:val="0"/>
          <w:numId w:val="6"/>
        </w:numPr>
        <w:tabs>
          <w:tab w:val="clear" w:pos="1298"/>
          <w:tab w:val="left" w:pos="1800"/>
        </w:tabs>
        <w:ind w:firstLine="540"/>
        <w:jc w:val="both"/>
      </w:pPr>
      <w:r>
        <w:t xml:space="preserve">Trumpalaikiai finansiniai įsipareigojimai – įsigijimo savikaina. </w:t>
      </w:r>
    </w:p>
    <w:p w14:paraId="072AF7F2" w14:textId="77777777" w:rsidR="008A6560" w:rsidRDefault="008A6560" w:rsidP="00A215E7">
      <w:pPr>
        <w:tabs>
          <w:tab w:val="left" w:pos="1800"/>
        </w:tabs>
        <w:jc w:val="both"/>
      </w:pPr>
    </w:p>
    <w:p w14:paraId="072AF7F3" w14:textId="426E707F" w:rsidR="008A6560" w:rsidRDefault="005322E1" w:rsidP="00A215E7">
      <w:pPr>
        <w:tabs>
          <w:tab w:val="left" w:pos="720"/>
        </w:tabs>
        <w:ind w:firstLine="1247"/>
        <w:jc w:val="both"/>
        <w:rPr>
          <w:b/>
        </w:rPr>
      </w:pPr>
      <w:r>
        <w:rPr>
          <w:b/>
        </w:rPr>
        <w:t xml:space="preserve">Savivaldybės skola ir kitos skolinimosi išlaidos </w:t>
      </w:r>
    </w:p>
    <w:p w14:paraId="072AF7F4" w14:textId="21DEA289" w:rsidR="008A6560" w:rsidRDefault="005322E1" w:rsidP="00A215E7">
      <w:pPr>
        <w:tabs>
          <w:tab w:val="left" w:pos="720"/>
        </w:tabs>
        <w:ind w:firstLine="1247"/>
        <w:jc w:val="both"/>
      </w:pPr>
      <w:r>
        <w:t xml:space="preserve">Savivaldybės vardu gautos trumpalaikės ir ilgalaikės paskolos (iš Finansų ministerijos ir iš komercinių bankų) bei skolinimosi išlaidos apskaitomos </w:t>
      </w:r>
      <w:r w:rsidR="001A751C">
        <w:t>S</w:t>
      </w:r>
      <w:r>
        <w:t xml:space="preserve">avivaldybės ižde, vadovaujantis 17-ojo VSAFAS „Finansinis turtas ir finansiniai įsipareigojimai“, 18-ojo VSAFAS „Atidėjiniai, </w:t>
      </w:r>
      <w:r>
        <w:lastRenderedPageBreak/>
        <w:t xml:space="preserve">neapibrėžtieji įsipareigojimai, neapibrėžtasis turtas ir </w:t>
      </w:r>
      <w:proofErr w:type="spellStart"/>
      <w:r>
        <w:t>poataskaitiniai</w:t>
      </w:r>
      <w:proofErr w:type="spellEnd"/>
      <w:r>
        <w:t xml:space="preserve"> įvykiai“ bei kitų VSAFAS nuostatomis. </w:t>
      </w:r>
    </w:p>
    <w:p w14:paraId="072AF7F5" w14:textId="750E38E9" w:rsidR="008A6560" w:rsidRDefault="005322E1" w:rsidP="00A215E7">
      <w:pPr>
        <w:tabs>
          <w:tab w:val="left" w:pos="720"/>
        </w:tabs>
        <w:ind w:firstLine="1247"/>
        <w:jc w:val="both"/>
      </w:pPr>
      <w:r>
        <w:t xml:space="preserve">Ilgalaikiai įsipareigojimai </w:t>
      </w:r>
      <w:r w:rsidR="001A751C">
        <w:t>S</w:t>
      </w:r>
      <w:r>
        <w:t xml:space="preserve">avivaldybės iždo apskaitoje registruojami pagal paskolų sutartis, bankus, finansavimo šaltinio požymį. Savivaldybės iždo apskaitoje gautos paskolos yra grąžinamos iš </w:t>
      </w:r>
      <w:r w:rsidR="001A751C">
        <w:t>S</w:t>
      </w:r>
      <w:r>
        <w:t xml:space="preserve">avivaldybės biudžeto lėšų. </w:t>
      </w:r>
    </w:p>
    <w:p w14:paraId="072AF7F6" w14:textId="77777777" w:rsidR="008A6560" w:rsidRDefault="008A6560" w:rsidP="00A215E7">
      <w:pPr>
        <w:tabs>
          <w:tab w:val="left" w:pos="720"/>
        </w:tabs>
        <w:ind w:firstLine="1247"/>
        <w:jc w:val="both"/>
      </w:pPr>
    </w:p>
    <w:p w14:paraId="072AF7F7" w14:textId="3DAA2600" w:rsidR="008A6560" w:rsidRDefault="005322E1" w:rsidP="00A215E7">
      <w:pPr>
        <w:tabs>
          <w:tab w:val="left" w:pos="720"/>
        </w:tabs>
        <w:ind w:firstLine="1247"/>
        <w:jc w:val="both"/>
        <w:rPr>
          <w:b/>
        </w:rPr>
      </w:pPr>
      <w:r>
        <w:rPr>
          <w:b/>
        </w:rPr>
        <w:t xml:space="preserve">Atidėjiniai </w:t>
      </w:r>
    </w:p>
    <w:p w14:paraId="072AF7F8" w14:textId="4380A272" w:rsidR="008A6560" w:rsidRDefault="005322E1" w:rsidP="00A215E7">
      <w:pPr>
        <w:tabs>
          <w:tab w:val="left" w:pos="720"/>
        </w:tabs>
        <w:ind w:firstLine="1247"/>
        <w:jc w:val="both"/>
      </w:pPr>
      <w:r>
        <w:t xml:space="preserve">Atidėjinys – įsipareigojimas, kurio galutinės įvykdymo sumos arba įvykdymo laiko negalima tikslai nustatyti, tačiau galima patikimai įvertinti. Atidėjinio sumos dydžio įvertinimo metodas (individualus, statistinis) pasirenkamas pagal aplinkybes. </w:t>
      </w:r>
    </w:p>
    <w:p w14:paraId="072AF7F9" w14:textId="38E4BE17" w:rsidR="008A6560" w:rsidRDefault="005322E1" w:rsidP="00A215E7">
      <w:pPr>
        <w:tabs>
          <w:tab w:val="left" w:pos="720"/>
        </w:tabs>
        <w:ind w:firstLine="1247"/>
        <w:jc w:val="both"/>
      </w:pPr>
      <w:r>
        <w:t xml:space="preserve">Atidėjiniai pripažįstami ir registruojami, kai atitinka šiuos pripažinimo kriterijus: </w:t>
      </w:r>
    </w:p>
    <w:p w14:paraId="072AF7FA" w14:textId="19BE8174" w:rsidR="008A6560" w:rsidRDefault="005322E1" w:rsidP="00A215E7">
      <w:pPr>
        <w:numPr>
          <w:ilvl w:val="0"/>
          <w:numId w:val="4"/>
        </w:numPr>
        <w:tabs>
          <w:tab w:val="left" w:pos="720"/>
        </w:tabs>
        <w:ind w:left="0" w:firstLine="1247"/>
        <w:jc w:val="both"/>
      </w:pPr>
      <w:r>
        <w:t>Turimas įsipareigojimas dėl buvusiojo įvykio</w:t>
      </w:r>
      <w:r w:rsidR="001A751C">
        <w:t>.</w:t>
      </w:r>
      <w:r>
        <w:t xml:space="preserve"> </w:t>
      </w:r>
    </w:p>
    <w:p w14:paraId="072AF7FB" w14:textId="3A5D478E" w:rsidR="008A6560" w:rsidRDefault="005322E1" w:rsidP="00A215E7">
      <w:pPr>
        <w:numPr>
          <w:ilvl w:val="0"/>
          <w:numId w:val="4"/>
        </w:numPr>
        <w:tabs>
          <w:tab w:val="left" w:pos="720"/>
          <w:tab w:val="left" w:pos="1620"/>
        </w:tabs>
        <w:ind w:left="0" w:firstLine="1247"/>
        <w:jc w:val="both"/>
      </w:pPr>
      <w:r>
        <w:t>Tikimybė, kad įsipareigojimą reikės padengti turtu yra didesnė už tikimybę, kad</w:t>
      </w:r>
      <w:r w:rsidR="007D280E">
        <w:t xml:space="preserve"> </w:t>
      </w:r>
      <w:r>
        <w:t xml:space="preserve">nereikės; įsipareigojimo suma gali būti patikimai įvertinta. </w:t>
      </w:r>
    </w:p>
    <w:p w14:paraId="072AF7FC" w14:textId="278EEC34" w:rsidR="008A6560" w:rsidRDefault="005322E1" w:rsidP="00A215E7">
      <w:pPr>
        <w:tabs>
          <w:tab w:val="left" w:pos="720"/>
        </w:tabs>
        <w:ind w:firstLine="1247"/>
        <w:jc w:val="both"/>
      </w:pPr>
      <w:r>
        <w:t>Paskutinę kiekvieno ataskaitinio laikotarpio dieną atidėjiniai peržiūrimi ir jų vertė koreguojama, atsižvelgiant į naujus įvykius ir aplinkybes. Jei paaiškėja, kad įsipareigojimų turtu dengti nereikės ar atidėjinio suma sumažėjo, atidėjiniai panaikinami arba sumažinami, mažinant finansinės būklės ataskaitos straipsnių „Ilgalaikiai atidėjiniai</w:t>
      </w:r>
      <w:r w:rsidR="001A751C">
        <w:t>“</w:t>
      </w:r>
      <w:r>
        <w:t xml:space="preserve"> arba „Ilgalaikių atidėjinių einamųjų metų dalis ir trumpalaikiai atidėjiniai“ sumas. </w:t>
      </w:r>
    </w:p>
    <w:p w14:paraId="072AF7FD" w14:textId="77777777" w:rsidR="008A6560" w:rsidRDefault="008A6560" w:rsidP="00A215E7">
      <w:pPr>
        <w:tabs>
          <w:tab w:val="left" w:pos="720"/>
        </w:tabs>
        <w:ind w:firstLine="1247"/>
        <w:jc w:val="both"/>
      </w:pPr>
    </w:p>
    <w:p w14:paraId="072AF7FE" w14:textId="310843A9" w:rsidR="008A6560" w:rsidRDefault="005322E1" w:rsidP="00A215E7">
      <w:pPr>
        <w:tabs>
          <w:tab w:val="left" w:pos="720"/>
        </w:tabs>
        <w:ind w:firstLine="1247"/>
        <w:jc w:val="both"/>
        <w:rPr>
          <w:b/>
        </w:rPr>
      </w:pPr>
      <w:r>
        <w:rPr>
          <w:b/>
        </w:rPr>
        <w:t xml:space="preserve">Mokesčių ir socialinių įmokų pajamos </w:t>
      </w:r>
    </w:p>
    <w:p w14:paraId="072AF7FF" w14:textId="251869C9" w:rsidR="008A6560" w:rsidRDefault="005322E1" w:rsidP="00A215E7">
      <w:pPr>
        <w:tabs>
          <w:tab w:val="left" w:pos="720"/>
        </w:tabs>
        <w:ind w:firstLine="1247"/>
        <w:jc w:val="both"/>
      </w:pPr>
      <w:r>
        <w:t>Pajamų apskaitos principai, metodai ir taisyklės</w:t>
      </w:r>
      <w:r w:rsidR="001A751C">
        <w:t>,</w:t>
      </w:r>
      <w:r>
        <w:t xml:space="preserve"> nustatyti 9-ajame VSAFAS „Mokesčių ir socialinių įmokų pajamos</w:t>
      </w:r>
      <w:r w:rsidR="001A751C">
        <w:t>“</w:t>
      </w:r>
      <w:r>
        <w:t xml:space="preserve">. Mokesčių ir socialinių įmokų pajamos pripažįstamos pajamomis pagal kaupimo principą, atsiradus mokesčio arba socialinės įmokos prievolei nepriklausomai nuo pinigų gavimo momento. </w:t>
      </w:r>
    </w:p>
    <w:p w14:paraId="072AF800" w14:textId="349F111F" w:rsidR="008A6560" w:rsidRDefault="005322E1" w:rsidP="00A215E7">
      <w:pPr>
        <w:tabs>
          <w:tab w:val="left" w:pos="720"/>
        </w:tabs>
        <w:ind w:firstLine="1247"/>
        <w:jc w:val="both"/>
      </w:pPr>
      <w:r>
        <w:t xml:space="preserve">Mokesčių pajamos priskiriamos prie </w:t>
      </w:r>
      <w:r w:rsidR="001A751C">
        <w:t>S</w:t>
      </w:r>
      <w:r>
        <w:t xml:space="preserve">avivaldybės pagrindinės veiklos pajamų. Mokesčių pajamos didina tik </w:t>
      </w:r>
      <w:r w:rsidR="001A751C">
        <w:t>S</w:t>
      </w:r>
      <w:r>
        <w:t xml:space="preserve">avivaldybės iždo ekonominę naudą ir apskaitoje registruojamos pagal mokesčių administratoriaus teikiamą informaciją. </w:t>
      </w:r>
    </w:p>
    <w:p w14:paraId="072AF805" w14:textId="68436E6D" w:rsidR="008A6560" w:rsidRDefault="005322E1" w:rsidP="00A215E7">
      <w:pPr>
        <w:tabs>
          <w:tab w:val="left" w:pos="720"/>
        </w:tabs>
        <w:ind w:firstLine="1247"/>
        <w:jc w:val="both"/>
      </w:pPr>
      <w:r>
        <w:rPr>
          <w:b/>
        </w:rPr>
        <w:t xml:space="preserve">Kitos pajamos </w:t>
      </w:r>
      <w:r>
        <w:t>Pajamų apskaitos principai, metodai ir taisyklės</w:t>
      </w:r>
      <w:r w:rsidR="001A751C">
        <w:t>,</w:t>
      </w:r>
      <w:r>
        <w:t xml:space="preserve"> nustatyti 10-ajame VSAFAS „Kitos pajamos</w:t>
      </w:r>
      <w:r w:rsidR="001A751C">
        <w:t>“</w:t>
      </w:r>
      <w:r>
        <w:t xml:space="preserve">. Pajamos rodomos </w:t>
      </w:r>
      <w:r w:rsidR="001A751C">
        <w:t>S</w:t>
      </w:r>
      <w:r>
        <w:t xml:space="preserve">avivaldybės konsoliduotose finansinėse ataskaitose tą ataskaitinį laikotarpį, kurį yra uždirbamos, nepriklausomai nuo pinigų gavimo momento. </w:t>
      </w:r>
    </w:p>
    <w:p w14:paraId="072AF806" w14:textId="7DF02EB9" w:rsidR="008A6560" w:rsidRDefault="005322E1" w:rsidP="00A215E7">
      <w:pPr>
        <w:tabs>
          <w:tab w:val="left" w:pos="720"/>
        </w:tabs>
        <w:ind w:firstLine="1247"/>
        <w:jc w:val="both"/>
      </w:pPr>
      <w:r>
        <w:t xml:space="preserve">Prie kitų </w:t>
      </w:r>
      <w:r w:rsidR="001A751C">
        <w:t>S</w:t>
      </w:r>
      <w:r>
        <w:t xml:space="preserve">avivaldybės pajamų priskiriamos pagrindinės veiklos kitos pajamos (pavyzdžiui, rinkliavos, pajamos už paslaugų teikimą, jei toks paslaugų teikimas gali būti priskirtas prie pagrindinės veiklos ir kitos prie pagrindinės veiklos priskiriamoms pajamoms) ir kitos veiklos pajamos (pajamos iš </w:t>
      </w:r>
      <w:r w:rsidR="001A751C">
        <w:t>S</w:t>
      </w:r>
      <w:r>
        <w:t xml:space="preserve">avivaldybės turto, baudos ir kitos pajamos). </w:t>
      </w:r>
    </w:p>
    <w:p w14:paraId="072AF807" w14:textId="77777777" w:rsidR="008A6560" w:rsidRDefault="008A6560" w:rsidP="00A215E7">
      <w:pPr>
        <w:tabs>
          <w:tab w:val="left" w:pos="720"/>
        </w:tabs>
        <w:ind w:firstLine="1247"/>
        <w:jc w:val="both"/>
      </w:pPr>
    </w:p>
    <w:p w14:paraId="072AF808" w14:textId="023D7B54" w:rsidR="008A6560" w:rsidRDefault="005322E1" w:rsidP="00A215E7">
      <w:pPr>
        <w:tabs>
          <w:tab w:val="left" w:pos="720"/>
        </w:tabs>
        <w:ind w:firstLine="1247"/>
        <w:jc w:val="both"/>
        <w:rPr>
          <w:b/>
        </w:rPr>
      </w:pPr>
      <w:r>
        <w:rPr>
          <w:b/>
        </w:rPr>
        <w:t xml:space="preserve">Sąnaudos </w:t>
      </w:r>
    </w:p>
    <w:p w14:paraId="072AF809" w14:textId="0BB0EC68" w:rsidR="008A6560" w:rsidRDefault="005322E1" w:rsidP="00A215E7">
      <w:pPr>
        <w:tabs>
          <w:tab w:val="left" w:pos="720"/>
        </w:tabs>
        <w:ind w:firstLine="1247"/>
        <w:jc w:val="both"/>
      </w:pPr>
      <w:r>
        <w:t>Sąnaudų apskaitos principai, metodai ir taisyklės</w:t>
      </w:r>
      <w:r w:rsidR="001A751C">
        <w:t>,</w:t>
      </w:r>
      <w:r>
        <w:t xml:space="preserve"> nustatyti 11-ajame VSAFAS – Sąnaudos. </w:t>
      </w:r>
    </w:p>
    <w:p w14:paraId="072AF80A" w14:textId="1D6A0FAD" w:rsidR="008A6560" w:rsidRDefault="005322E1" w:rsidP="00A215E7">
      <w:pPr>
        <w:tabs>
          <w:tab w:val="left" w:pos="720"/>
        </w:tabs>
        <w:ind w:firstLine="1247"/>
        <w:jc w:val="both"/>
      </w:pPr>
      <w:r>
        <w:t xml:space="preserve">Savivaldybės viešojo sektoriaus subjektų sąnaudos pripažįstamos ir registruojamos apskaitoje tą ataskaitinį laikotarpį, kurį jos buvo padarytos – kai uždirbamos su jomis susijusios pajamos, neatsižvelgiant į pinigų išleidimo laiką. Veiklos rezultatų ataskaitoje sąnaudos grupuojamos pagal tai, kokią veiklą vykdant jos buvo padarytos. Sąnaudų grupės pagal veiklos rūšis: pagrindinės veiklos sąnaudos, kitos veiklos sąnaudos, finansinės ir investicinės veiklos sąnaudos. Sąnaudų grupavimas nepriklauso nuo to, iš kokių finansavimo šaltinių ir kokių pajamų jos apmokamos. Veiklos rezultatų ataskaitoje pagrindinės veiklos sąnaudos sugrupuotos pagal pagrindines valstybės funkcijas. Prie kitų sąnaudų priskiriama: nuostoliai iš ilgalaikio materialiojo ir nematerialiojo turto perleidimo, sąnaudos, susijusios su atsitiktiniu turto pardavimu, sąnaudos, susijusios su pajamų, rodomų kitos veiklos pajamų straipsnyje, uždirbimu, tarp jų sąnaudos, susijusios su komercine veikla (turto nuoma, paslaugų teikimas ir kt.). </w:t>
      </w:r>
    </w:p>
    <w:p w14:paraId="072AF80B" w14:textId="77777777" w:rsidR="008A6560" w:rsidRDefault="008A6560" w:rsidP="00A215E7">
      <w:pPr>
        <w:tabs>
          <w:tab w:val="left" w:pos="720"/>
        </w:tabs>
        <w:ind w:firstLine="1247"/>
        <w:jc w:val="both"/>
      </w:pPr>
    </w:p>
    <w:p w14:paraId="072AF80C" w14:textId="08E82BAB" w:rsidR="008A6560" w:rsidRDefault="005322E1" w:rsidP="00A215E7">
      <w:pPr>
        <w:tabs>
          <w:tab w:val="left" w:pos="720"/>
        </w:tabs>
        <w:ind w:firstLine="1247"/>
        <w:jc w:val="both"/>
        <w:rPr>
          <w:b/>
        </w:rPr>
      </w:pPr>
      <w:r>
        <w:rPr>
          <w:b/>
        </w:rPr>
        <w:t xml:space="preserve">Segmentai </w:t>
      </w:r>
    </w:p>
    <w:p w14:paraId="072AF80D" w14:textId="4DE002D1" w:rsidR="008A6560" w:rsidRDefault="005322E1" w:rsidP="00A215E7">
      <w:pPr>
        <w:tabs>
          <w:tab w:val="left" w:pos="720"/>
        </w:tabs>
        <w:ind w:firstLine="1247"/>
        <w:jc w:val="both"/>
      </w:pPr>
      <w:r>
        <w:lastRenderedPageBreak/>
        <w:t xml:space="preserve">Savivaldybės viešojo sektoriaus subjektai apskaitos veiklą vykdo pagal segmentus, vadovaujantis 25-ojo VSAFAS nuostatomis. </w:t>
      </w:r>
    </w:p>
    <w:p w14:paraId="072AF80E" w14:textId="25D8FD42" w:rsidR="008A6560" w:rsidRDefault="005322E1" w:rsidP="00A215E7">
      <w:pPr>
        <w:tabs>
          <w:tab w:val="left" w:pos="720"/>
        </w:tabs>
        <w:ind w:firstLine="1247"/>
        <w:jc w:val="both"/>
      </w:pPr>
      <w:r>
        <w:t xml:space="preserve">Veiklos segmentas pagal valstybės funkcijas – veiklos dalis, apimanti vienos valstybės funkcijos atlikimą. Sąnaudos ir pinigų srautai prie veiklos segmentų priskiriamos pagal tai, kokioms valstybės funkcijoms vykdyti skiriami ir naudojami ištekliai: </w:t>
      </w:r>
    </w:p>
    <w:p w14:paraId="072AF80F" w14:textId="1EB7B026" w:rsidR="008A6560" w:rsidRDefault="005322E1" w:rsidP="00A215E7">
      <w:pPr>
        <w:numPr>
          <w:ilvl w:val="0"/>
          <w:numId w:val="3"/>
        </w:numPr>
        <w:tabs>
          <w:tab w:val="left" w:pos="720"/>
        </w:tabs>
        <w:jc w:val="both"/>
      </w:pPr>
      <w:r>
        <w:t>Bendrosioms valstybės paslaugoms</w:t>
      </w:r>
      <w:r w:rsidR="001A751C">
        <w:t>.</w:t>
      </w:r>
      <w:r>
        <w:t xml:space="preserve"> </w:t>
      </w:r>
    </w:p>
    <w:p w14:paraId="072AF810" w14:textId="46821072" w:rsidR="008A6560" w:rsidRDefault="005322E1" w:rsidP="00A215E7">
      <w:pPr>
        <w:numPr>
          <w:ilvl w:val="0"/>
          <w:numId w:val="3"/>
        </w:numPr>
        <w:tabs>
          <w:tab w:val="left" w:pos="720"/>
        </w:tabs>
        <w:jc w:val="both"/>
      </w:pPr>
      <w:r>
        <w:t>Gynybai</w:t>
      </w:r>
      <w:r w:rsidR="001A751C">
        <w:t>.</w:t>
      </w:r>
    </w:p>
    <w:p w14:paraId="072AF811" w14:textId="07ED591B" w:rsidR="008A6560" w:rsidRDefault="005322E1" w:rsidP="00A215E7">
      <w:pPr>
        <w:numPr>
          <w:ilvl w:val="0"/>
          <w:numId w:val="3"/>
        </w:numPr>
        <w:tabs>
          <w:tab w:val="left" w:pos="720"/>
        </w:tabs>
        <w:jc w:val="both"/>
      </w:pPr>
      <w:r>
        <w:t>Viešajai tvarkai ir visuomenės apsaugai</w:t>
      </w:r>
      <w:r w:rsidR="001A751C">
        <w:t>.</w:t>
      </w:r>
    </w:p>
    <w:p w14:paraId="072AF812" w14:textId="3780163C" w:rsidR="008A6560" w:rsidRDefault="005322E1" w:rsidP="00A215E7">
      <w:pPr>
        <w:numPr>
          <w:ilvl w:val="0"/>
          <w:numId w:val="3"/>
        </w:numPr>
        <w:tabs>
          <w:tab w:val="left" w:pos="720"/>
        </w:tabs>
        <w:jc w:val="both"/>
      </w:pPr>
      <w:r>
        <w:t>Ekonomikai</w:t>
      </w:r>
      <w:r w:rsidR="001A751C">
        <w:t>.</w:t>
      </w:r>
    </w:p>
    <w:p w14:paraId="072AF813" w14:textId="47E1C2D4" w:rsidR="008A6560" w:rsidRDefault="005322E1" w:rsidP="00A215E7">
      <w:pPr>
        <w:numPr>
          <w:ilvl w:val="0"/>
          <w:numId w:val="3"/>
        </w:numPr>
        <w:tabs>
          <w:tab w:val="left" w:pos="720"/>
        </w:tabs>
        <w:jc w:val="both"/>
      </w:pPr>
      <w:r>
        <w:t>Aplinkos apsaugai</w:t>
      </w:r>
      <w:r w:rsidR="001A751C">
        <w:t>.</w:t>
      </w:r>
    </w:p>
    <w:p w14:paraId="072AF814" w14:textId="3AFC2059" w:rsidR="008A6560" w:rsidRDefault="005322E1" w:rsidP="00A215E7">
      <w:pPr>
        <w:numPr>
          <w:ilvl w:val="0"/>
          <w:numId w:val="3"/>
        </w:numPr>
        <w:tabs>
          <w:tab w:val="left" w:pos="720"/>
        </w:tabs>
        <w:jc w:val="both"/>
      </w:pPr>
      <w:r>
        <w:t>Būstui ir komunaliniam ūkiui</w:t>
      </w:r>
      <w:r w:rsidR="001A751C">
        <w:t>.</w:t>
      </w:r>
      <w:r>
        <w:t xml:space="preserve"> </w:t>
      </w:r>
    </w:p>
    <w:p w14:paraId="072AF815" w14:textId="7571CE4B" w:rsidR="008A6560" w:rsidRDefault="005322E1" w:rsidP="00A215E7">
      <w:pPr>
        <w:numPr>
          <w:ilvl w:val="0"/>
          <w:numId w:val="3"/>
        </w:numPr>
        <w:tabs>
          <w:tab w:val="left" w:pos="720"/>
        </w:tabs>
        <w:jc w:val="both"/>
      </w:pPr>
      <w:r>
        <w:t>Sveikatos apsaugai</w:t>
      </w:r>
      <w:r w:rsidR="001A751C">
        <w:t>.</w:t>
      </w:r>
      <w:r>
        <w:t xml:space="preserve"> </w:t>
      </w:r>
    </w:p>
    <w:p w14:paraId="072AF816" w14:textId="2A041CE4" w:rsidR="008A6560" w:rsidRDefault="005322E1" w:rsidP="00A215E7">
      <w:pPr>
        <w:numPr>
          <w:ilvl w:val="0"/>
          <w:numId w:val="3"/>
        </w:numPr>
        <w:tabs>
          <w:tab w:val="left" w:pos="720"/>
        </w:tabs>
        <w:jc w:val="both"/>
      </w:pPr>
      <w:r>
        <w:t>Poilsiui, kultūrai ir religijai</w:t>
      </w:r>
      <w:r w:rsidR="001A751C">
        <w:t>.</w:t>
      </w:r>
      <w:r>
        <w:t xml:space="preserve"> </w:t>
      </w:r>
    </w:p>
    <w:p w14:paraId="072AF817" w14:textId="7AD5243A" w:rsidR="008A6560" w:rsidRDefault="005322E1" w:rsidP="00A215E7">
      <w:pPr>
        <w:numPr>
          <w:ilvl w:val="0"/>
          <w:numId w:val="3"/>
        </w:numPr>
        <w:tabs>
          <w:tab w:val="left" w:pos="720"/>
        </w:tabs>
        <w:jc w:val="both"/>
      </w:pPr>
      <w:r>
        <w:t>Švietimui</w:t>
      </w:r>
      <w:r w:rsidR="001A751C">
        <w:t>.</w:t>
      </w:r>
    </w:p>
    <w:p w14:paraId="072AF818" w14:textId="77777777" w:rsidR="008A6560" w:rsidRDefault="005322E1" w:rsidP="00A215E7">
      <w:pPr>
        <w:numPr>
          <w:ilvl w:val="0"/>
          <w:numId w:val="3"/>
        </w:numPr>
        <w:tabs>
          <w:tab w:val="left" w:pos="720"/>
        </w:tabs>
        <w:jc w:val="both"/>
      </w:pPr>
      <w:r>
        <w:t xml:space="preserve">Socialinei apsaugai. </w:t>
      </w:r>
    </w:p>
    <w:p w14:paraId="072AF819" w14:textId="77777777" w:rsidR="008A6560" w:rsidRDefault="005322E1" w:rsidP="00A215E7">
      <w:pPr>
        <w:tabs>
          <w:tab w:val="left" w:pos="720"/>
        </w:tabs>
        <w:ind w:firstLine="1247"/>
        <w:jc w:val="both"/>
      </w:pPr>
      <w:r>
        <w:t xml:space="preserve">Šiame metiniame finansinių ataskaitų rinkinyje informacija pagal segmentus teikiama apie pagrindines veiklos sąnaudas. </w:t>
      </w:r>
    </w:p>
    <w:p w14:paraId="072AF81A" w14:textId="77777777" w:rsidR="008A6560" w:rsidRDefault="008A6560">
      <w:pPr>
        <w:tabs>
          <w:tab w:val="left" w:pos="720"/>
        </w:tabs>
        <w:spacing w:line="276" w:lineRule="auto"/>
        <w:jc w:val="both"/>
      </w:pPr>
    </w:p>
    <w:p w14:paraId="072AF81B" w14:textId="1078895F" w:rsidR="008A6560" w:rsidRDefault="005322E1" w:rsidP="00A215E7">
      <w:pPr>
        <w:tabs>
          <w:tab w:val="left" w:pos="720"/>
        </w:tabs>
        <w:ind w:firstLine="1247"/>
        <w:jc w:val="both"/>
        <w:rPr>
          <w:b/>
        </w:rPr>
      </w:pPr>
      <w:r>
        <w:rPr>
          <w:b/>
        </w:rPr>
        <w:t>Operacijos užsienio valiuta</w:t>
      </w:r>
    </w:p>
    <w:p w14:paraId="072AF81C" w14:textId="7B3AC46B" w:rsidR="008A6560" w:rsidRDefault="005322E1" w:rsidP="00A215E7">
      <w:pPr>
        <w:tabs>
          <w:tab w:val="left" w:pos="720"/>
        </w:tabs>
        <w:ind w:firstLine="1247"/>
        <w:jc w:val="both"/>
      </w:pPr>
      <w:r>
        <w:t xml:space="preserve">Valiutos kurso ir valiutos keitimo kurso skirtumas, susidaręs keičiant valiutą, laikomas banko paslauga ir registruojamas kaip pagrindinės veiklos sąnaudos. Pajamos ir sąnaudos, atsirandančios dėl valiutos kurso pokyčių, priskiriamos prie finansinės ir investicinės veiklos. Operacijos užsienio valiuta ataskaitiniu laikotarpiu yra registruojamos pagal Lietuvos banko skelbiamą buhalterinį kursą. </w:t>
      </w:r>
    </w:p>
    <w:p w14:paraId="072AF81D" w14:textId="77777777" w:rsidR="008A6560" w:rsidRDefault="008A6560" w:rsidP="00A215E7">
      <w:pPr>
        <w:tabs>
          <w:tab w:val="left" w:pos="720"/>
        </w:tabs>
        <w:ind w:firstLine="1247"/>
        <w:jc w:val="both"/>
      </w:pPr>
    </w:p>
    <w:p w14:paraId="072AF81E" w14:textId="188E44F2" w:rsidR="008A6560" w:rsidRDefault="005322E1" w:rsidP="00A215E7">
      <w:pPr>
        <w:tabs>
          <w:tab w:val="left" w:pos="720"/>
        </w:tabs>
        <w:ind w:firstLine="1247"/>
        <w:jc w:val="both"/>
      </w:pPr>
      <w:r>
        <w:rPr>
          <w:b/>
        </w:rPr>
        <w:t>Nuosavybės metodo įtaka</w:t>
      </w:r>
    </w:p>
    <w:p w14:paraId="072AF81F" w14:textId="24F7A5FF" w:rsidR="008A6560" w:rsidRDefault="005322E1" w:rsidP="00A215E7">
      <w:pPr>
        <w:tabs>
          <w:tab w:val="left" w:pos="720"/>
        </w:tabs>
        <w:ind w:firstLine="1247"/>
        <w:jc w:val="both"/>
      </w:pPr>
      <w:r>
        <w:t>Nuosavybės metodas – apskaitos metodas, kai investicija iš pradžių apskaitoje registruojama įsigijimo savikaina, o vėliau jos vertė didinama ar mažinama atsižvelgiant į ūkio subjekto, į kurį investuota, investuotojui tenkančios grynojo turto dalies pokyčius po įsigijimo. Savivaldybei tenkanti kontroliuojamų ne viešojo sektoriaus subjektų nuosavo kapitalo dalis, atėmus investicijas į tą subjektą, rodo investicijos vertės pokytį ir yra rodoma finansinės ataskaitos straipsnyje „Nuosavybės metodo įtaka</w:t>
      </w:r>
      <w:r w:rsidR="001A751C">
        <w:t>“</w:t>
      </w:r>
      <w:r>
        <w:t xml:space="preserve">, neatsižvelgiant į investicijų finansavimo šaltinį. Nuosavybės metodo įtaką didina Savivaldybės kontroliuojamų ne viešojo sektoriaus subjektų uždirbtas pelnas, o mažina –  tų subjektų patirti nuostoliai. </w:t>
      </w:r>
    </w:p>
    <w:p w14:paraId="072AF820" w14:textId="4BA7F650" w:rsidR="008A6560" w:rsidRDefault="005322E1" w:rsidP="00A215E7">
      <w:pPr>
        <w:tabs>
          <w:tab w:val="left" w:pos="720"/>
        </w:tabs>
        <w:ind w:firstLine="1247"/>
        <w:jc w:val="both"/>
      </w:pPr>
      <w:r>
        <w:t xml:space="preserve">Metų pabaigoje nuosavybės metodo įtaka paprastai registruojama pagal kontroliuojamų subjektų dvylikos mėnesių tarpinių finansinių ataskaitų (neaudituotų) duomenis. Jeigu audituotų finansinių ataskaitų balanse įmonės veiklos rezultatas skiriasi, nuosavybės metodu apskaičiuotos investicijos vertės koregavimai daromi kitų metų pirmo pusmečio finansinėse ataskaitose. </w:t>
      </w:r>
    </w:p>
    <w:p w14:paraId="072AF822" w14:textId="77777777" w:rsidR="008A6560" w:rsidRDefault="008A6560">
      <w:pPr>
        <w:tabs>
          <w:tab w:val="left" w:pos="720"/>
        </w:tabs>
        <w:spacing w:line="276" w:lineRule="auto"/>
        <w:jc w:val="both"/>
      </w:pPr>
    </w:p>
    <w:p w14:paraId="072AF823" w14:textId="05A12A44" w:rsidR="008A6560" w:rsidRDefault="005322E1">
      <w:pPr>
        <w:tabs>
          <w:tab w:val="left" w:pos="720"/>
        </w:tabs>
        <w:spacing w:line="276" w:lineRule="auto"/>
        <w:jc w:val="center"/>
      </w:pPr>
      <w:r>
        <w:rPr>
          <w:b/>
        </w:rPr>
        <w:t>III. PASTABOS</w:t>
      </w:r>
    </w:p>
    <w:p w14:paraId="072AF824" w14:textId="12DF25F5" w:rsidR="008A6560" w:rsidRDefault="005322E1" w:rsidP="00A215E7">
      <w:pPr>
        <w:pStyle w:val="Citata"/>
        <w:spacing w:before="0" w:after="0"/>
        <w:ind w:left="0" w:right="0" w:firstLine="1247"/>
        <w:jc w:val="both"/>
      </w:pPr>
      <w:r>
        <w:rPr>
          <w:i w:val="0"/>
          <w:iCs w:val="0"/>
          <w:color w:val="000000"/>
        </w:rPr>
        <w:t xml:space="preserve">Savivaldybės metininio finansinių ataskaitų rinkinio aiškinamojo rašto pastabas sudaro lentelės (priedai), kurios detalizuoja konsoliduotųjų finansinių ataskaitų straipsnius. Ši informacija yra sujungiama į aiškinamojo rašto pastabų grupes, kurios numeruojamos nuo P01 iki P29, pagal Lietuvos Respublikos </w:t>
      </w:r>
      <w:r w:rsidR="001A751C">
        <w:rPr>
          <w:i w:val="0"/>
          <w:iCs w:val="0"/>
          <w:color w:val="000000"/>
        </w:rPr>
        <w:t>f</w:t>
      </w:r>
      <w:r>
        <w:rPr>
          <w:i w:val="0"/>
          <w:iCs w:val="0"/>
          <w:color w:val="000000"/>
        </w:rPr>
        <w:t xml:space="preserve">inansų ministro patvirtintos </w:t>
      </w:r>
      <w:r w:rsidR="001A751C">
        <w:rPr>
          <w:i w:val="0"/>
          <w:iCs w:val="0"/>
          <w:color w:val="000000"/>
        </w:rPr>
        <w:t>V</w:t>
      </w:r>
      <w:r>
        <w:rPr>
          <w:i w:val="0"/>
          <w:iCs w:val="0"/>
          <w:color w:val="000000"/>
        </w:rPr>
        <w:t xml:space="preserve">iešojo sektoriaus subjektų finansinių ataskaitų konsolidavimo metodikos 12 priedą. </w:t>
      </w:r>
    </w:p>
    <w:p w14:paraId="43DF6675" w14:textId="77777777" w:rsidR="00DE4DBF" w:rsidRDefault="00DE4DBF" w:rsidP="007D280E">
      <w:pPr>
        <w:tabs>
          <w:tab w:val="left" w:pos="720"/>
        </w:tabs>
        <w:ind w:firstLine="1247"/>
        <w:rPr>
          <w:b/>
        </w:rPr>
      </w:pPr>
    </w:p>
    <w:p w14:paraId="072AF825" w14:textId="15BFE4C6" w:rsidR="008A6560" w:rsidRDefault="005322E1" w:rsidP="00A215E7">
      <w:pPr>
        <w:tabs>
          <w:tab w:val="left" w:pos="720"/>
        </w:tabs>
        <w:ind w:firstLine="1247"/>
      </w:pPr>
      <w:r>
        <w:rPr>
          <w:b/>
        </w:rPr>
        <w:t>Apskaitos klaidų taisymas (P01)</w:t>
      </w:r>
    </w:p>
    <w:p w14:paraId="072AF826" w14:textId="7DB83F51" w:rsidR="008A6560" w:rsidRDefault="005322E1" w:rsidP="00A215E7">
      <w:pPr>
        <w:tabs>
          <w:tab w:val="left" w:pos="720"/>
        </w:tabs>
        <w:ind w:firstLine="1247"/>
        <w:jc w:val="both"/>
      </w:pPr>
      <w:r>
        <w:t xml:space="preserve">Praėjusių ataskaitinių laikotarpių esminės ir neesminės klaidos taisomos einamojo ataskaitinio laikotarpio viešojo sektoriaus subjektų finansinėse ataskaitose iki jų patvirtinimo viešojo sektoriaus apskaitos ir ataskaitų konsolidavimo sistemoje dienos. Ataskaitiniu laikotarpiu </w:t>
      </w:r>
      <w:r>
        <w:lastRenderedPageBreak/>
        <w:t xml:space="preserve">Savivaldybės grupės kontroliuojamų viešojo sektoriaus subjektų apskaitoje apskaitos politikos keitimo ir esminių apskaitos klaidų taisymo nebuvo. </w:t>
      </w:r>
    </w:p>
    <w:p w14:paraId="072AF827" w14:textId="77777777" w:rsidR="008A6560" w:rsidRDefault="008A6560" w:rsidP="00A215E7">
      <w:pPr>
        <w:tabs>
          <w:tab w:val="left" w:pos="720"/>
        </w:tabs>
        <w:ind w:firstLine="1247"/>
        <w:jc w:val="both"/>
        <w:rPr>
          <w:b/>
        </w:rPr>
      </w:pPr>
    </w:p>
    <w:p w14:paraId="072AF828" w14:textId="2061F9E4" w:rsidR="008A6560" w:rsidRDefault="005322E1" w:rsidP="00A215E7">
      <w:pPr>
        <w:tabs>
          <w:tab w:val="left" w:pos="720"/>
        </w:tabs>
        <w:ind w:firstLine="1247"/>
        <w:rPr>
          <w:b/>
        </w:rPr>
      </w:pPr>
      <w:r>
        <w:rPr>
          <w:b/>
        </w:rPr>
        <w:t>Informacija pagal segmentus (P02)</w:t>
      </w:r>
    </w:p>
    <w:p w14:paraId="072AF829" w14:textId="69BC7638" w:rsidR="008A6560" w:rsidRDefault="005322E1" w:rsidP="00A215E7">
      <w:pPr>
        <w:tabs>
          <w:tab w:val="left" w:pos="720"/>
        </w:tabs>
        <w:ind w:firstLine="1247"/>
        <w:jc w:val="both"/>
      </w:pPr>
      <w:r>
        <w:t>2024 m. pagrindinės veiklos sąnaudos sudarė 39</w:t>
      </w:r>
      <w:r w:rsidR="001A751C">
        <w:t xml:space="preserve"> </w:t>
      </w:r>
      <w:r>
        <w:t>851,43 tūkst. Eur. Iš jų didžiąją dalį sudarė socialinės apsaugos (14</w:t>
      </w:r>
      <w:r w:rsidR="001A751C">
        <w:t xml:space="preserve"> </w:t>
      </w:r>
      <w:r>
        <w:t>376,57 tūkst. Eur) ir švietimo (13</w:t>
      </w:r>
      <w:r w:rsidR="001A751C">
        <w:t xml:space="preserve"> </w:t>
      </w:r>
      <w:r>
        <w:t>843,88 tūkst. Eur) sąnaudos.</w:t>
      </w:r>
    </w:p>
    <w:p w14:paraId="072AF82A" w14:textId="77777777" w:rsidR="008A6560" w:rsidRDefault="005322E1" w:rsidP="00A215E7">
      <w:pPr>
        <w:tabs>
          <w:tab w:val="left" w:pos="720"/>
        </w:tabs>
        <w:ind w:firstLine="1247"/>
        <w:jc w:val="both"/>
      </w:pPr>
      <w:r>
        <w:t>Ataskaitinio laikotarpio detali informacija pagal veiklos segmentus ir finansinių ataskaitų straipsnius pateikta šio aiškinamojo rašto P2 priede.</w:t>
      </w:r>
    </w:p>
    <w:p w14:paraId="072AF82B" w14:textId="77777777" w:rsidR="008A6560" w:rsidRDefault="008A6560" w:rsidP="00A215E7">
      <w:pPr>
        <w:tabs>
          <w:tab w:val="left" w:pos="720"/>
        </w:tabs>
        <w:ind w:firstLine="1247"/>
        <w:jc w:val="both"/>
      </w:pPr>
    </w:p>
    <w:p w14:paraId="072AF82C" w14:textId="7E102CBD" w:rsidR="008A6560" w:rsidRDefault="005322E1" w:rsidP="00A215E7">
      <w:pPr>
        <w:tabs>
          <w:tab w:val="left" w:pos="720"/>
          <w:tab w:val="left" w:pos="1260"/>
        </w:tabs>
        <w:ind w:firstLine="1247"/>
        <w:jc w:val="both"/>
        <w:rPr>
          <w:b/>
        </w:rPr>
      </w:pPr>
      <w:r>
        <w:rPr>
          <w:b/>
        </w:rPr>
        <w:t xml:space="preserve">Nematerialus turtas (P03) </w:t>
      </w:r>
    </w:p>
    <w:p w14:paraId="072AF82D" w14:textId="4D914C2A" w:rsidR="008A6560" w:rsidRDefault="005322E1" w:rsidP="00A215E7">
      <w:pPr>
        <w:tabs>
          <w:tab w:val="left" w:pos="720"/>
        </w:tabs>
        <w:ind w:firstLine="1247"/>
        <w:jc w:val="both"/>
      </w:pPr>
      <w:r>
        <w:t xml:space="preserve">Informacija apie nematerialiojo turto balansinę vertę pagal turto grupes ataskaitinį laikotarpį pateikta finansinės būklės ataskaitoje ir aiškinamojo rašto P3 prieduose. </w:t>
      </w:r>
    </w:p>
    <w:p w14:paraId="55F094CE" w14:textId="5A23CAB0" w:rsidR="006306D4" w:rsidRDefault="005322E1" w:rsidP="00A215E7">
      <w:pPr>
        <w:tabs>
          <w:tab w:val="left" w:pos="720"/>
        </w:tabs>
        <w:ind w:firstLine="1247"/>
        <w:jc w:val="both"/>
      </w:pPr>
      <w:r>
        <w:t>Nematerialiojo turto balansinė vertė ataskaitinio laikotarpio pabaigoje sudarė 226,66 tūkst. Eur. Didžiausią dalį Savivaldybės nematerialiojo turto sudarė programinė įranga ir jos licencijos – 169,53 tūkst. Eur, nebaigti projektai ir išankstiniai mokėjimai – 30,31 tūkst. Eur ir kitas nematerialusis turtas – 26,82 tūkst. Eur.</w:t>
      </w:r>
    </w:p>
    <w:p w14:paraId="072AF830" w14:textId="77777777" w:rsidR="008A6560" w:rsidRDefault="008A6560" w:rsidP="00A215E7">
      <w:pPr>
        <w:tabs>
          <w:tab w:val="left" w:pos="720"/>
        </w:tabs>
        <w:ind w:firstLine="1247"/>
        <w:jc w:val="both"/>
      </w:pPr>
    </w:p>
    <w:p w14:paraId="072AF831" w14:textId="33529082" w:rsidR="008A6560" w:rsidRDefault="005322E1" w:rsidP="00A215E7">
      <w:pPr>
        <w:tabs>
          <w:tab w:val="left" w:pos="720"/>
        </w:tabs>
        <w:ind w:firstLine="1247"/>
        <w:jc w:val="both"/>
        <w:rPr>
          <w:b/>
        </w:rPr>
      </w:pPr>
      <w:r>
        <w:rPr>
          <w:b/>
        </w:rPr>
        <w:t>Ilgalaikis materialusis turtas (P04)</w:t>
      </w:r>
    </w:p>
    <w:p w14:paraId="072AF832" w14:textId="017EA30C" w:rsidR="008A6560" w:rsidRDefault="005322E1" w:rsidP="00A215E7">
      <w:pPr>
        <w:tabs>
          <w:tab w:val="left" w:pos="720"/>
        </w:tabs>
        <w:ind w:firstLine="1247"/>
        <w:jc w:val="both"/>
        <w:rPr>
          <w:iCs/>
        </w:rPr>
      </w:pPr>
      <w:r>
        <w:t>Informacija apie ilgalaikio materialiojo turto balansinę vertę pagal turto grupes per ataskaitinį laikotarpį detalizuota aiškinamojo rašto P4 prieduose.</w:t>
      </w:r>
      <w:r>
        <w:rPr>
          <w:i/>
        </w:rPr>
        <w:t xml:space="preserve"> </w:t>
      </w:r>
    </w:p>
    <w:p w14:paraId="072AF833" w14:textId="7241B256" w:rsidR="008A6560" w:rsidRDefault="005322E1" w:rsidP="00A215E7">
      <w:pPr>
        <w:tabs>
          <w:tab w:val="left" w:pos="720"/>
        </w:tabs>
        <w:ind w:firstLine="1247"/>
        <w:jc w:val="both"/>
      </w:pPr>
      <w:r>
        <w:t>Ilgalaikio materialiojo turto likutinė vertė ataskaitinio laikotarpio pabaigoje sudarė 71</w:t>
      </w:r>
      <w:r w:rsidR="001A751C">
        <w:t xml:space="preserve"> </w:t>
      </w:r>
      <w:r>
        <w:t>865,79 tūkst. Eur. Didžiąją dalį ilgalaikio materialiojo turto sudarė infrastruktūros statiniai – 39</w:t>
      </w:r>
      <w:r w:rsidR="001A751C">
        <w:t xml:space="preserve"> </w:t>
      </w:r>
      <w:r>
        <w:t>921,98 tūkst. Eur ir pastatai – 15</w:t>
      </w:r>
      <w:r w:rsidR="001A751C">
        <w:t xml:space="preserve"> </w:t>
      </w:r>
      <w:r>
        <w:t xml:space="preserve">447,37 tūkst. Eur.  </w:t>
      </w:r>
    </w:p>
    <w:p w14:paraId="072AF834" w14:textId="5D63892C" w:rsidR="008A6560" w:rsidRDefault="005322E1" w:rsidP="00A215E7">
      <w:pPr>
        <w:tabs>
          <w:tab w:val="left" w:pos="720"/>
        </w:tabs>
        <w:ind w:firstLine="1247"/>
        <w:jc w:val="both"/>
      </w:pPr>
      <w:r>
        <w:t xml:space="preserve">Valstybei nuosavybės teise priklausančio, </w:t>
      </w:r>
      <w:r w:rsidR="00E00BB6">
        <w:t>S</w:t>
      </w:r>
      <w:r>
        <w:t>avivaldybės pasitikėjimo teise valdomo ilgalaikio materialiojo turto balansinė vertė ataskaitinio laikotarpio pabaigoje sudarė 14</w:t>
      </w:r>
      <w:r w:rsidR="00E00BB6">
        <w:t xml:space="preserve"> </w:t>
      </w:r>
      <w:r>
        <w:t xml:space="preserve">587,64 tūkst. Eur. </w:t>
      </w:r>
    </w:p>
    <w:p w14:paraId="072AF835" w14:textId="4E9252FF" w:rsidR="008A6560" w:rsidRDefault="005322E1" w:rsidP="00A215E7">
      <w:pPr>
        <w:tabs>
          <w:tab w:val="left" w:pos="720"/>
        </w:tabs>
        <w:ind w:firstLine="1247"/>
        <w:jc w:val="both"/>
        <w:rPr>
          <w:b/>
        </w:rPr>
      </w:pPr>
      <w:r>
        <w:rPr>
          <w:b/>
        </w:rPr>
        <w:t>Ilgalaikis finansinis turtas (P05, P06)</w:t>
      </w:r>
    </w:p>
    <w:p w14:paraId="072AF836" w14:textId="5E86DDB2" w:rsidR="008A6560" w:rsidRDefault="005322E1" w:rsidP="00A215E7">
      <w:pPr>
        <w:tabs>
          <w:tab w:val="left" w:pos="720"/>
        </w:tabs>
        <w:ind w:firstLine="1247"/>
        <w:jc w:val="both"/>
      </w:pPr>
      <w:r>
        <w:t xml:space="preserve">Informacija apie ilgalaikį finansinį turtą pateikta kontroliuojamų uždarųjų akcinių bendrovių jungtinėje finansinės būklės ataskaitoje. </w:t>
      </w:r>
    </w:p>
    <w:p w14:paraId="072AF837" w14:textId="76F3E66E" w:rsidR="008A6560" w:rsidRDefault="005322E1" w:rsidP="00A215E7">
      <w:pPr>
        <w:tabs>
          <w:tab w:val="left" w:pos="720"/>
        </w:tabs>
        <w:ind w:firstLine="1247"/>
        <w:jc w:val="both"/>
      </w:pPr>
      <w:r>
        <w:t>Ilgalaikio finansinio turto vertė  ataskaitinio laikotarpio pabaigoje sudarė 16</w:t>
      </w:r>
      <w:r w:rsidR="00E00BB6">
        <w:t xml:space="preserve"> </w:t>
      </w:r>
      <w:r>
        <w:t xml:space="preserve">581,46 tūkst. Eur. Tai yra pagrindinis Savivaldybės finansinis turtas  – </w:t>
      </w:r>
      <w:r w:rsidR="00E00BB6">
        <w:t>S</w:t>
      </w:r>
      <w:r>
        <w:t xml:space="preserve">avivaldybės administracijos investicijos į kontroliuojamus neviešojo sektoriaus subjektus ir asocijuotuosius subjektus. </w:t>
      </w:r>
    </w:p>
    <w:p w14:paraId="072AF838" w14:textId="77777777" w:rsidR="008A6560" w:rsidRDefault="008A6560" w:rsidP="00A215E7">
      <w:pPr>
        <w:tabs>
          <w:tab w:val="left" w:pos="720"/>
        </w:tabs>
        <w:ind w:firstLine="1247"/>
        <w:jc w:val="both"/>
      </w:pPr>
    </w:p>
    <w:p w14:paraId="072AF839" w14:textId="05DBF1F7" w:rsidR="008A6560" w:rsidRDefault="005322E1" w:rsidP="00A215E7">
      <w:pPr>
        <w:tabs>
          <w:tab w:val="left" w:pos="720"/>
        </w:tabs>
        <w:ind w:firstLine="1247"/>
        <w:jc w:val="both"/>
        <w:rPr>
          <w:b/>
        </w:rPr>
      </w:pPr>
      <w:r>
        <w:rPr>
          <w:b/>
        </w:rPr>
        <w:t xml:space="preserve">Biologinis turtas (P07) </w:t>
      </w:r>
    </w:p>
    <w:p w14:paraId="072AF83A" w14:textId="61DE48B3" w:rsidR="008A6560" w:rsidRDefault="005322E1" w:rsidP="00A215E7">
      <w:pPr>
        <w:tabs>
          <w:tab w:val="left" w:pos="720"/>
        </w:tabs>
        <w:ind w:firstLine="1247"/>
        <w:jc w:val="both"/>
      </w:pPr>
      <w:r>
        <w:t xml:space="preserve">Biologinis turtas apskaitomas vadovaujantis 16-ojo VSAFAS nuostatomis ir yra užregistruotas </w:t>
      </w:r>
      <w:r w:rsidR="00E00BB6">
        <w:t>S</w:t>
      </w:r>
      <w:r>
        <w:t xml:space="preserve">avivaldybės administracijos ir Skuodo vaikų lopšelio-darželio apskaitose. Jo vertė 2024 m. gruodžio 31 d. buvo 61,17 tūkst. Eur, iš jų 60.47 tūkst. Eur sudarė parkų ir skverų želdynai,  0,6 tūkst. Eur biologinis turtas – medynai ir 0,1 tūkst. Eur – gyvūnai.   </w:t>
      </w:r>
    </w:p>
    <w:p w14:paraId="072AF83B" w14:textId="77777777" w:rsidR="008A6560" w:rsidRDefault="008A6560" w:rsidP="00A215E7">
      <w:pPr>
        <w:tabs>
          <w:tab w:val="left" w:pos="720"/>
        </w:tabs>
        <w:ind w:firstLine="1247"/>
        <w:jc w:val="both"/>
      </w:pPr>
    </w:p>
    <w:p w14:paraId="072AF83C" w14:textId="2797EF2B" w:rsidR="008A6560" w:rsidRDefault="005322E1" w:rsidP="00A215E7">
      <w:pPr>
        <w:tabs>
          <w:tab w:val="left" w:pos="720"/>
        </w:tabs>
        <w:ind w:firstLine="1247"/>
        <w:jc w:val="both"/>
        <w:rPr>
          <w:b/>
        </w:rPr>
      </w:pPr>
      <w:r>
        <w:rPr>
          <w:b/>
        </w:rPr>
        <w:t xml:space="preserve">Atsargos (P08) </w:t>
      </w:r>
    </w:p>
    <w:p w14:paraId="072AF83D" w14:textId="0ABF0CEE" w:rsidR="008A6560" w:rsidRDefault="005322E1" w:rsidP="00A215E7">
      <w:pPr>
        <w:tabs>
          <w:tab w:val="left" w:pos="720"/>
        </w:tabs>
        <w:ind w:firstLine="1247"/>
        <w:jc w:val="both"/>
      </w:pPr>
      <w:r>
        <w:t xml:space="preserve">Atsargų vertės pasikeitimas ir jų vertė pagal grupes detalizuota aiškinamojo rašto P8 priede. </w:t>
      </w:r>
    </w:p>
    <w:p w14:paraId="072AF83E" w14:textId="5E5FC4CD" w:rsidR="008A6560" w:rsidRDefault="005322E1" w:rsidP="00A215E7">
      <w:pPr>
        <w:tabs>
          <w:tab w:val="left" w:pos="720"/>
        </w:tabs>
        <w:ind w:firstLine="1247"/>
        <w:jc w:val="both"/>
      </w:pPr>
      <w:bookmarkStart w:id="0" w:name="_Hlk5888295"/>
      <w:bookmarkEnd w:id="0"/>
      <w:r>
        <w:t>Savivaldybės atsargų likutinė vertė ataskaitinio laikotarpio pabaigoje sudarė 1</w:t>
      </w:r>
      <w:r w:rsidR="00E00BB6">
        <w:t xml:space="preserve"> </w:t>
      </w:r>
      <w:r>
        <w:t xml:space="preserve">000,77 tūkst. Eur.  </w:t>
      </w:r>
    </w:p>
    <w:p w14:paraId="2D527383" w14:textId="77777777" w:rsidR="00DE4DBF" w:rsidRDefault="00DE4DBF" w:rsidP="007D280E">
      <w:pPr>
        <w:tabs>
          <w:tab w:val="left" w:pos="720"/>
        </w:tabs>
        <w:ind w:firstLine="1247"/>
        <w:jc w:val="both"/>
        <w:rPr>
          <w:b/>
        </w:rPr>
      </w:pPr>
    </w:p>
    <w:p w14:paraId="072AF83F" w14:textId="1B0DCB1C" w:rsidR="008A6560" w:rsidRDefault="005322E1" w:rsidP="00A215E7">
      <w:pPr>
        <w:tabs>
          <w:tab w:val="left" w:pos="720"/>
        </w:tabs>
        <w:ind w:firstLine="1247"/>
        <w:jc w:val="both"/>
        <w:rPr>
          <w:b/>
        </w:rPr>
      </w:pPr>
      <w:r>
        <w:rPr>
          <w:b/>
        </w:rPr>
        <w:t xml:space="preserve">Išankstiniai apmokėjimai (P09) </w:t>
      </w:r>
    </w:p>
    <w:p w14:paraId="072AF840" w14:textId="7B35B474" w:rsidR="008A6560" w:rsidRDefault="005322E1" w:rsidP="00A215E7">
      <w:pPr>
        <w:tabs>
          <w:tab w:val="left" w:pos="720"/>
        </w:tabs>
        <w:ind w:firstLine="1247"/>
        <w:jc w:val="both"/>
      </w:pPr>
      <w:r>
        <w:t xml:space="preserve">Išankstinių apmokėjimų balansinė vertė ataskaitinio laikotarpio pabaigoje buvo 164,79 tūkst. Eur. Didžiąją dalį visų išankstinių apmokėjimų sudarė kitos ateinančių laikotarpių sąnaudos – 125,18 tūkst. Eur ir išankstiniai apmokėjimai tiekėjams – 39,60 tūkst. Eur.  </w:t>
      </w:r>
    </w:p>
    <w:p w14:paraId="072AF841" w14:textId="5658CAB0" w:rsidR="008A6560" w:rsidRDefault="005322E1" w:rsidP="00A215E7">
      <w:pPr>
        <w:tabs>
          <w:tab w:val="left" w:pos="720"/>
        </w:tabs>
        <w:ind w:firstLine="1247"/>
        <w:jc w:val="both"/>
      </w:pPr>
      <w:r>
        <w:t xml:space="preserve">Informacija apie išankstinius apmokėjimus pateikta aiškinamojo rašto P9 priede. </w:t>
      </w:r>
    </w:p>
    <w:p w14:paraId="3CE492A4" w14:textId="77777777" w:rsidR="00DE4DBF" w:rsidRDefault="00DE4DBF" w:rsidP="007D280E">
      <w:pPr>
        <w:tabs>
          <w:tab w:val="left" w:pos="720"/>
        </w:tabs>
        <w:ind w:firstLine="1247"/>
        <w:jc w:val="both"/>
      </w:pPr>
    </w:p>
    <w:p w14:paraId="5CFA3C95" w14:textId="77777777" w:rsidR="00DE4DBF" w:rsidRDefault="00DE4DBF" w:rsidP="00A215E7">
      <w:pPr>
        <w:tabs>
          <w:tab w:val="left" w:pos="720"/>
        </w:tabs>
        <w:ind w:firstLine="1247"/>
        <w:jc w:val="both"/>
      </w:pPr>
    </w:p>
    <w:p w14:paraId="072AF843" w14:textId="2764A837" w:rsidR="008A6560" w:rsidRDefault="005322E1" w:rsidP="00A215E7">
      <w:pPr>
        <w:tabs>
          <w:tab w:val="left" w:pos="720"/>
        </w:tabs>
        <w:ind w:firstLine="1247"/>
        <w:jc w:val="both"/>
        <w:rPr>
          <w:b/>
        </w:rPr>
      </w:pPr>
      <w:r>
        <w:rPr>
          <w:b/>
        </w:rPr>
        <w:lastRenderedPageBreak/>
        <w:t>Gautinos sumos (P10)</w:t>
      </w:r>
    </w:p>
    <w:p w14:paraId="072AF844" w14:textId="5B961D7F" w:rsidR="008A6560" w:rsidRDefault="005322E1" w:rsidP="00A215E7">
      <w:pPr>
        <w:tabs>
          <w:tab w:val="left" w:pos="720"/>
        </w:tabs>
        <w:ind w:firstLine="1247"/>
        <w:jc w:val="both"/>
      </w:pPr>
      <w:r>
        <w:t>Gautinų sumų balansinė vertė ataskaitinio laikotarpio pabaigoje sudarė 3</w:t>
      </w:r>
      <w:r w:rsidR="00E00BB6">
        <w:t xml:space="preserve"> </w:t>
      </w:r>
      <w:r>
        <w:t xml:space="preserve">118,99 tūkst. Eur. </w:t>
      </w:r>
    </w:p>
    <w:p w14:paraId="072AF845" w14:textId="28F670F9" w:rsidR="008A6560" w:rsidRDefault="005322E1" w:rsidP="00A215E7">
      <w:pPr>
        <w:tabs>
          <w:tab w:val="left" w:pos="720"/>
        </w:tabs>
        <w:ind w:firstLine="1247"/>
        <w:jc w:val="both"/>
      </w:pPr>
      <w:r>
        <w:t>Gautinų sumų įsigijimo savikaina – 3</w:t>
      </w:r>
      <w:r w:rsidR="00E00BB6">
        <w:t xml:space="preserve"> </w:t>
      </w:r>
      <w:r>
        <w:t>212,26 tūkst. Eur, didžiausias sumas sudarė sukauptos gautinos sumos – 2</w:t>
      </w:r>
      <w:r w:rsidR="00E00BB6">
        <w:t xml:space="preserve"> </w:t>
      </w:r>
      <w:r>
        <w:t xml:space="preserve">145,84 tūkst. Eur, gautinos sumos už turto naudojimą, parduotas prekes, turtą, paslaugas – 450,04 tūkst. Eur ir gautini mokesčiai ir socialinės įmokos – 394,01tūkst. Eur (gautini mokesčiai iš Lietuvos Respublikos </w:t>
      </w:r>
      <w:r w:rsidR="00E00BB6">
        <w:t>f</w:t>
      </w:r>
      <w:r>
        <w:t>inansų ministerijos bei mokesčių pajamos iš VMI</w:t>
      </w:r>
      <w:r w:rsidR="00E00BB6">
        <w:t>)</w:t>
      </w:r>
      <w:r>
        <w:t xml:space="preserve">.  </w:t>
      </w:r>
    </w:p>
    <w:p w14:paraId="072AF846" w14:textId="1158C026" w:rsidR="008A6560" w:rsidRDefault="005322E1" w:rsidP="00A215E7">
      <w:pPr>
        <w:tabs>
          <w:tab w:val="left" w:pos="720"/>
        </w:tabs>
        <w:ind w:firstLine="1247"/>
        <w:jc w:val="both"/>
      </w:pPr>
      <w:r>
        <w:t xml:space="preserve">Per vienus metus gautinų sumų nuvertėjimas ataskaitinio laikotarpio pabaigoje sudarė 93,27 tūkst. Eur dėl nebegalimo jų atgavimo, dėl įmonių nelikvidumo bei dingimo, pradelstų atsiskaitymų, kurių mokėjimo terminas pasibaigęs 2024 m. pabaigoje.  </w:t>
      </w:r>
    </w:p>
    <w:p w14:paraId="072AF847" w14:textId="14D0346B" w:rsidR="008A6560" w:rsidRDefault="005322E1" w:rsidP="00A215E7">
      <w:pPr>
        <w:tabs>
          <w:tab w:val="left" w:pos="720"/>
        </w:tabs>
        <w:ind w:firstLine="1247"/>
        <w:jc w:val="both"/>
      </w:pPr>
      <w:r>
        <w:t xml:space="preserve">Detali informacija pateikta aiškinamojo rašto P10 priede. </w:t>
      </w:r>
    </w:p>
    <w:p w14:paraId="072AF848" w14:textId="77777777" w:rsidR="008A6560" w:rsidRDefault="008A6560" w:rsidP="00A215E7">
      <w:pPr>
        <w:tabs>
          <w:tab w:val="left" w:pos="720"/>
        </w:tabs>
        <w:ind w:firstLine="1247"/>
        <w:jc w:val="both"/>
      </w:pPr>
    </w:p>
    <w:p w14:paraId="072AF849" w14:textId="1277B2B5" w:rsidR="008A6560" w:rsidRDefault="005322E1" w:rsidP="00A215E7">
      <w:pPr>
        <w:tabs>
          <w:tab w:val="left" w:pos="720"/>
        </w:tabs>
        <w:ind w:firstLine="1247"/>
        <w:jc w:val="both"/>
        <w:rPr>
          <w:b/>
        </w:rPr>
      </w:pPr>
      <w:r>
        <w:rPr>
          <w:b/>
        </w:rPr>
        <w:t>Pinigai ir pinigų ekvivalentai (P11)</w:t>
      </w:r>
    </w:p>
    <w:p w14:paraId="072AF84A" w14:textId="150F8852" w:rsidR="008A6560" w:rsidRDefault="005322E1" w:rsidP="00A215E7">
      <w:pPr>
        <w:tabs>
          <w:tab w:val="left" w:pos="720"/>
        </w:tabs>
        <w:ind w:firstLine="1247"/>
        <w:jc w:val="both"/>
      </w:pPr>
      <w:r>
        <w:t>Savivaldybės viešojo sektoriaus subjektų grupės pinigų ir pinigų ekvivalentų likutis ataskaitinio laikotarpio pabaigoje – 3</w:t>
      </w:r>
      <w:r w:rsidR="00E00BB6">
        <w:t xml:space="preserve"> </w:t>
      </w:r>
      <w:r>
        <w:t xml:space="preserve">531,33 tūkst. Eur. </w:t>
      </w:r>
    </w:p>
    <w:p w14:paraId="072AF84B" w14:textId="0FED7EF8" w:rsidR="008A6560" w:rsidRDefault="005322E1" w:rsidP="00A215E7">
      <w:pPr>
        <w:tabs>
          <w:tab w:val="left" w:pos="720"/>
        </w:tabs>
        <w:ind w:firstLine="1247"/>
        <w:jc w:val="both"/>
      </w:pPr>
      <w:r>
        <w:t>Informacija apie pinigus ir pinigų ekvivalentus pateikta aiškinamojo rašto P11 priede.</w:t>
      </w:r>
    </w:p>
    <w:p w14:paraId="4AB2FB52" w14:textId="77777777" w:rsidR="00DE4DBF" w:rsidRDefault="00DE4DBF" w:rsidP="007D280E">
      <w:pPr>
        <w:tabs>
          <w:tab w:val="left" w:pos="720"/>
        </w:tabs>
        <w:ind w:firstLine="1247"/>
        <w:jc w:val="both"/>
        <w:rPr>
          <w:b/>
        </w:rPr>
      </w:pPr>
    </w:p>
    <w:p w14:paraId="072AF84C" w14:textId="252CA705" w:rsidR="008A6560" w:rsidRDefault="005322E1" w:rsidP="00A215E7">
      <w:pPr>
        <w:tabs>
          <w:tab w:val="left" w:pos="720"/>
        </w:tabs>
        <w:ind w:firstLine="1247"/>
        <w:jc w:val="both"/>
        <w:rPr>
          <w:b/>
        </w:rPr>
      </w:pPr>
      <w:r>
        <w:rPr>
          <w:b/>
        </w:rPr>
        <w:t>Finansavimo sumos (P12)</w:t>
      </w:r>
    </w:p>
    <w:p w14:paraId="072AF84D" w14:textId="3D1023C3" w:rsidR="008A6560" w:rsidRDefault="005322E1" w:rsidP="00A215E7">
      <w:pPr>
        <w:tabs>
          <w:tab w:val="left" w:pos="720"/>
        </w:tabs>
        <w:ind w:firstLine="1247"/>
        <w:jc w:val="both"/>
      </w:pPr>
      <w:r>
        <w:t>Finansavimo sumų likutis ataskaitinio laikotarpio pabaigai sudarė 55</w:t>
      </w:r>
      <w:r w:rsidR="00E00BB6">
        <w:t xml:space="preserve"> </w:t>
      </w:r>
      <w:r>
        <w:t>079,06 tūkst. Eur, iš jų – valstybės biudžeto lėšos 37</w:t>
      </w:r>
      <w:r w:rsidR="00E00BB6">
        <w:t xml:space="preserve"> </w:t>
      </w:r>
      <w:r>
        <w:t>484,15 tūkst. Eur, Europos Sąjungos, užsienio valstybių ir tarptautinių organizacijų  lėšos 16</w:t>
      </w:r>
      <w:r w:rsidR="00E00BB6">
        <w:t xml:space="preserve"> </w:t>
      </w:r>
      <w:r>
        <w:t xml:space="preserve">863,68 tūkst. Eur, likusi dalis finansavimo sumų – iš kitų šaltinių – 367,23 tūkst. Eur. Finansavimo sumos iš </w:t>
      </w:r>
      <w:r w:rsidR="00E00BB6">
        <w:t>S</w:t>
      </w:r>
      <w:r>
        <w:t xml:space="preserve">avivaldybės biudžeto konsoliduotose ataskaitose išsieliminuoja, todėl ataskaitinio laikotarpio pabaigoje likutis turi būti ir yra lygus nuliui. </w:t>
      </w:r>
    </w:p>
    <w:p w14:paraId="072AF84E" w14:textId="2F38CB7A" w:rsidR="008A6560" w:rsidRDefault="005322E1" w:rsidP="00A215E7">
      <w:pPr>
        <w:tabs>
          <w:tab w:val="left" w:pos="720"/>
        </w:tabs>
        <w:ind w:firstLine="1247"/>
        <w:jc w:val="both"/>
      </w:pPr>
      <w:r>
        <w:t xml:space="preserve">Informacija apie Savivaldybės viešojo sektoriaus subjektų grupės finansavimo sumas pagal šaltinį, tikslinę paskirtį ir jų pokyčius per ataskaitinį laikotarpį  pateikta aiškinamojo rašto P12 priede.  </w:t>
      </w:r>
    </w:p>
    <w:p w14:paraId="072AF850" w14:textId="30E2E6C8" w:rsidR="008A6560" w:rsidRDefault="005322E1" w:rsidP="00A215E7">
      <w:pPr>
        <w:tabs>
          <w:tab w:val="left" w:pos="720"/>
        </w:tabs>
        <w:ind w:firstLine="1247"/>
        <w:jc w:val="both"/>
        <w:rPr>
          <w:b/>
        </w:rPr>
      </w:pPr>
      <w:r>
        <w:rPr>
          <w:b/>
        </w:rPr>
        <w:t>Finansiniai įsipareigojimai (P13)</w:t>
      </w:r>
    </w:p>
    <w:p w14:paraId="072AF851" w14:textId="0BBC49DF" w:rsidR="008A6560" w:rsidRDefault="005322E1" w:rsidP="00A215E7">
      <w:pPr>
        <w:tabs>
          <w:tab w:val="left" w:pos="720"/>
        </w:tabs>
        <w:ind w:firstLine="1247"/>
        <w:jc w:val="both"/>
        <w:rPr>
          <w:rFonts w:eastAsia="Calibri"/>
          <w:i/>
          <w:lang w:eastAsia="en-US"/>
        </w:rPr>
      </w:pPr>
      <w:r>
        <w:t>I</w:t>
      </w:r>
      <w:r>
        <w:rPr>
          <w:rFonts w:eastAsia="Calibri"/>
          <w:lang w:eastAsia="en-US"/>
        </w:rPr>
        <w:t xml:space="preserve">nformacija apie įsipareigojimų pokytį per ataskaitinį laikotarpį pateikta aiškinamojo rašto P13 prieduose. </w:t>
      </w:r>
    </w:p>
    <w:p w14:paraId="072AF852" w14:textId="516AA0DD" w:rsidR="008A6560" w:rsidRDefault="005322E1" w:rsidP="00A215E7">
      <w:pPr>
        <w:tabs>
          <w:tab w:val="left" w:pos="720"/>
        </w:tabs>
        <w:ind w:firstLine="1247"/>
        <w:jc w:val="both"/>
      </w:pPr>
      <w:r>
        <w:t>Savivaldybės finansinius įsipareigojimus sudaro gautos ilgalaikės paskolos ir kiti ilgalaikiai įsipareigojimai. Finansinių įsipareigojimų balansinė vertė ataskaitinio laikotarpio pabaigoje sudarė 1</w:t>
      </w:r>
      <w:r w:rsidR="00E00BB6">
        <w:t xml:space="preserve"> </w:t>
      </w:r>
      <w:r>
        <w:t xml:space="preserve">741,39 tūkst. Eur. </w:t>
      </w:r>
    </w:p>
    <w:p w14:paraId="072AF853" w14:textId="02AA289D" w:rsidR="008A6560" w:rsidRDefault="005322E1" w:rsidP="00A215E7">
      <w:pPr>
        <w:tabs>
          <w:tab w:val="left" w:pos="720"/>
        </w:tabs>
        <w:ind w:firstLine="1247"/>
        <w:jc w:val="both"/>
      </w:pPr>
      <w:r>
        <w:t>Savivaldybės ilgalaikiai finansiniai įsipareigojimai ataskaitinio laikotarpio pabaigoje sudarė 1</w:t>
      </w:r>
      <w:r w:rsidR="00E00BB6">
        <w:t xml:space="preserve"> </w:t>
      </w:r>
      <w:r>
        <w:t>226,57 tūkst. Eur.</w:t>
      </w:r>
    </w:p>
    <w:p w14:paraId="072AF854" w14:textId="54E4B8D8" w:rsidR="008A6560" w:rsidRDefault="005322E1" w:rsidP="00A215E7">
      <w:pPr>
        <w:tabs>
          <w:tab w:val="left" w:pos="720"/>
        </w:tabs>
        <w:ind w:firstLine="1247"/>
        <w:jc w:val="both"/>
      </w:pPr>
      <w:r>
        <w:t xml:space="preserve">Ilgalaikių įsipareigojimų einamųjų metų dalis – 514,82 tūkst. Eur. </w:t>
      </w:r>
    </w:p>
    <w:p w14:paraId="072AF855" w14:textId="77777777" w:rsidR="008A6560" w:rsidRDefault="008A6560" w:rsidP="00A215E7">
      <w:pPr>
        <w:tabs>
          <w:tab w:val="left" w:pos="720"/>
        </w:tabs>
        <w:ind w:firstLine="1247"/>
        <w:jc w:val="both"/>
        <w:rPr>
          <w:rFonts w:eastAsia="Calibri"/>
          <w:lang w:eastAsia="en-US"/>
        </w:rPr>
      </w:pPr>
    </w:p>
    <w:p w14:paraId="072AF856" w14:textId="65941DF2" w:rsidR="008A6560" w:rsidRDefault="005322E1" w:rsidP="00A215E7">
      <w:pPr>
        <w:tabs>
          <w:tab w:val="left" w:pos="720"/>
        </w:tabs>
        <w:ind w:firstLine="1247"/>
        <w:jc w:val="both"/>
      </w:pPr>
      <w:r>
        <w:rPr>
          <w:b/>
        </w:rPr>
        <w:t>Suteiktos garantijos dėl paskolų (P16)</w:t>
      </w:r>
      <w:r>
        <w:tab/>
      </w:r>
    </w:p>
    <w:p w14:paraId="072AF857" w14:textId="7E4DB7D5" w:rsidR="008A6560" w:rsidRDefault="005322E1" w:rsidP="00A215E7">
      <w:pPr>
        <w:tabs>
          <w:tab w:val="left" w:pos="720"/>
        </w:tabs>
        <w:ind w:firstLine="1247"/>
        <w:jc w:val="both"/>
      </w:pPr>
      <w:r>
        <w:t>Tai yra netiesioginiai Savivaldybės turtiniai įsipareigojimai grąžinti visą paskolos sumą ar jos dalį kreditoriams už skolininkus, kurių įsipareigojimų vykdymą garantuoja Savivaldybė, jei šie nevykdo paskolos sutartyje numatytų įsipareigojimų arba vykdo ne visus. Paskolų, dėl kurių suteiktos garantijos, likutis ataskaitinio laikotarpio pabaigoje buvo 176,38 tūkst. Eur – UAB „Skuodo vandenys</w:t>
      </w:r>
      <w:r w:rsidR="00586D00">
        <w:t>“</w:t>
      </w:r>
      <w:r>
        <w:t xml:space="preserve"> investiciniam projektui finansuoti. </w:t>
      </w:r>
    </w:p>
    <w:p w14:paraId="072AF858" w14:textId="06926E4D" w:rsidR="008A6560" w:rsidRDefault="005322E1" w:rsidP="00A215E7">
      <w:pPr>
        <w:tabs>
          <w:tab w:val="left" w:pos="720"/>
        </w:tabs>
        <w:ind w:firstLine="1247"/>
        <w:jc w:val="both"/>
      </w:pPr>
      <w:r>
        <w:t xml:space="preserve">Informacija apie suteiktas garantijas dėl paskolų pateikta šio aiškinamojo rašto P16 priede. </w:t>
      </w:r>
    </w:p>
    <w:p w14:paraId="072AF85A" w14:textId="3A9E46A1" w:rsidR="008A6560" w:rsidRDefault="005322E1" w:rsidP="00A215E7">
      <w:pPr>
        <w:tabs>
          <w:tab w:val="left" w:pos="720"/>
        </w:tabs>
        <w:ind w:firstLine="1247"/>
        <w:jc w:val="both"/>
        <w:rPr>
          <w:b/>
          <w:highlight w:val="yellow"/>
        </w:rPr>
      </w:pPr>
      <w:r>
        <w:rPr>
          <w:b/>
        </w:rPr>
        <w:t>Trumpalaikės mokėtinos sumos (P17)</w:t>
      </w:r>
    </w:p>
    <w:p w14:paraId="072AF85B" w14:textId="65087357" w:rsidR="008A6560" w:rsidRDefault="005322E1" w:rsidP="00A215E7">
      <w:pPr>
        <w:tabs>
          <w:tab w:val="left" w:pos="720"/>
        </w:tabs>
        <w:ind w:firstLine="1247"/>
        <w:jc w:val="both"/>
      </w:pPr>
      <w:r>
        <w:t>Trumpalaikių mokėtinų sumų balansinė vertė paskutinę ataskaitinio laikotarpio dieną buvo 2</w:t>
      </w:r>
      <w:r w:rsidR="00586D00">
        <w:t xml:space="preserve"> </w:t>
      </w:r>
      <w:r>
        <w:t xml:space="preserve">048,38 tūkst. Eur. Iš jų didžiausia dalis buvo sukauptos mokėtinos sumos – 1.659,59 tūkst. Eur, su darbo santykiais susiję įsipareigojimai – 246,92 tūkst. Eur, tiekėjams mokėtinos sumos – 127,46 tūkst. Eur, kiti trumpalaikiai įsipareigojimai – 13,09 tūkst. Eur ir mokėtinos subsidijos, dotacijos ir finansavimo sumos – 1,33 tūkst. Eur.   </w:t>
      </w:r>
    </w:p>
    <w:p w14:paraId="072AF85C" w14:textId="77777777" w:rsidR="008A6560" w:rsidRDefault="005322E1" w:rsidP="00A215E7">
      <w:pPr>
        <w:tabs>
          <w:tab w:val="left" w:pos="720"/>
        </w:tabs>
        <w:ind w:firstLine="1247"/>
        <w:jc w:val="both"/>
      </w:pPr>
      <w:r>
        <w:t xml:space="preserve">Detali informacija apie kai kurias trumpalaikes mokėtinas sumas pateikta P17 priede. </w:t>
      </w:r>
    </w:p>
    <w:p w14:paraId="072AF85D" w14:textId="77777777" w:rsidR="008A6560" w:rsidRDefault="008A6560" w:rsidP="00A215E7">
      <w:pPr>
        <w:tabs>
          <w:tab w:val="left" w:pos="720"/>
        </w:tabs>
        <w:ind w:firstLine="1247"/>
        <w:jc w:val="both"/>
      </w:pPr>
    </w:p>
    <w:p w14:paraId="072AF85E" w14:textId="103DBD2E" w:rsidR="008A6560" w:rsidRDefault="005322E1" w:rsidP="00A215E7">
      <w:pPr>
        <w:tabs>
          <w:tab w:val="left" w:pos="720"/>
        </w:tabs>
        <w:ind w:firstLine="1247"/>
        <w:jc w:val="both"/>
      </w:pPr>
      <w:r>
        <w:rPr>
          <w:b/>
        </w:rPr>
        <w:lastRenderedPageBreak/>
        <w:t>Grynasis turtas (P18)</w:t>
      </w:r>
      <w:r>
        <w:rPr>
          <w:b/>
        </w:rPr>
        <w:tab/>
      </w:r>
    </w:p>
    <w:p w14:paraId="072AF85F" w14:textId="2B8F48C2" w:rsidR="008A6560" w:rsidRDefault="005322E1" w:rsidP="00A215E7">
      <w:pPr>
        <w:tabs>
          <w:tab w:val="left" w:pos="720"/>
        </w:tabs>
        <w:ind w:firstLine="1247"/>
        <w:jc w:val="both"/>
      </w:pPr>
      <w:r>
        <w:t xml:space="preserve">Savivaldybės grynasis turtas – tai savivaldybės viso turto ir įsipareigojimų bei finansavimo sumų (iš valstybės biudžeto, Europos Sąjungos, užsienio valstybių ir tarptautinių organizacijų ir kitų šaltinių) skirtumas. Konsoliduotasis grynasis turtas reikšmingai skiriasi nuo aritmetiškai susumuoto įstaigų grynojo turto, nes eliminuotos finansavimo sumos iš </w:t>
      </w:r>
      <w:r w:rsidR="00586D00">
        <w:t>S</w:t>
      </w:r>
      <w:r>
        <w:t xml:space="preserve">avivaldybės biudžeto konsoliduotose finansinėse ataskaitose yra priskiriamos prie grynojo </w:t>
      </w:r>
      <w:r w:rsidR="00586D00">
        <w:t>S</w:t>
      </w:r>
      <w:r>
        <w:t xml:space="preserve">avivaldybės turto (skirtumai gali susidaryti ir dėl kitų operacijų eliminavimo, tačiau finansavimo sumos turi didžiausią įtaką). </w:t>
      </w:r>
    </w:p>
    <w:p w14:paraId="072AF860" w14:textId="32E6F30C" w:rsidR="008A6560" w:rsidRDefault="005322E1" w:rsidP="00A215E7">
      <w:pPr>
        <w:tabs>
          <w:tab w:val="left" w:pos="720"/>
        </w:tabs>
        <w:ind w:firstLine="1247"/>
        <w:jc w:val="both"/>
      </w:pPr>
      <w:r>
        <w:t>Savivaldybės konsoliduotose finansinėse ataskaitose rodomi tik ūkinių operacijų su prie viešojo sektoriaus subjektų grupės nepriklausančiais viešojo sektoriaus subjektais rezultatai (perviršis arba deficitas). Konsolidavimas nėra tik sumavimas. Rengiant Savivaldybės metinį finansinių ataskaitų rinkinį visų grupės subjektų rezultatai yra sumuojami ir eliminuojamos tarpusavio operacijos. Didžiausią įtaką turi finansavimo sąnaudų ir finansavimo pajamų eliminavimas, tačiau gali būti ir kitų pajamų</w:t>
      </w:r>
      <w:r w:rsidR="00586D00">
        <w:t xml:space="preserve"> </w:t>
      </w:r>
      <w:r>
        <w:t xml:space="preserve">/ sąnaudų operacijų, eliminuojamų Savivaldybės grupėje. </w:t>
      </w:r>
      <w:r>
        <w:tab/>
        <w:t xml:space="preserve"> </w:t>
      </w:r>
    </w:p>
    <w:p w14:paraId="072AF861" w14:textId="3F79A4AE" w:rsidR="008A6560" w:rsidRDefault="005322E1" w:rsidP="00A215E7">
      <w:pPr>
        <w:pStyle w:val="Style85"/>
        <w:widowControl/>
        <w:spacing w:line="240" w:lineRule="auto"/>
        <w:ind w:firstLine="1247"/>
        <w:jc w:val="both"/>
      </w:pPr>
      <w:r>
        <w:t>Ataskaitinio laikotarpio pabaigoje Savivaldybės grynasis turtas buvo 36</w:t>
      </w:r>
      <w:r w:rsidR="00586D00">
        <w:t xml:space="preserve"> </w:t>
      </w:r>
      <w:r>
        <w:t>875,75 tūkst. Eur. Sukauptas perviršis 32</w:t>
      </w:r>
      <w:r w:rsidR="00586D00">
        <w:t xml:space="preserve"> </w:t>
      </w:r>
      <w:r>
        <w:t>990,90 tūkst. Eur (1</w:t>
      </w:r>
      <w:r w:rsidR="00586D00">
        <w:t xml:space="preserve"> </w:t>
      </w:r>
      <w:r>
        <w:t>658,28 tūkst. Eur padidintas UAB „Skuodo vandenys</w:t>
      </w:r>
      <w:r w:rsidR="00586D00">
        <w:t>“</w:t>
      </w:r>
      <w:r>
        <w:t xml:space="preserve"> įstatinis kapitalas turtu). Tikrosios vertės rezervas 5</w:t>
      </w:r>
      <w:r w:rsidR="00586D00">
        <w:t xml:space="preserve"> </w:t>
      </w:r>
      <w:r>
        <w:t>210,05 tūkst. Eur, kuris</w:t>
      </w:r>
      <w:r>
        <w:rPr>
          <w:rStyle w:val="FontStyle1760"/>
          <w:b w:val="0"/>
          <w:bCs w:val="0"/>
          <w:sz w:val="24"/>
          <w:szCs w:val="24"/>
        </w:rPr>
        <w:t xml:space="preserve"> 4</w:t>
      </w:r>
      <w:r w:rsidR="00586D00">
        <w:rPr>
          <w:rStyle w:val="FontStyle1760"/>
          <w:b w:val="0"/>
          <w:bCs w:val="0"/>
          <w:sz w:val="24"/>
          <w:szCs w:val="24"/>
        </w:rPr>
        <w:t xml:space="preserve"> </w:t>
      </w:r>
      <w:r>
        <w:rPr>
          <w:rStyle w:val="FontStyle1760"/>
          <w:b w:val="0"/>
          <w:bCs w:val="0"/>
          <w:sz w:val="24"/>
          <w:szCs w:val="24"/>
        </w:rPr>
        <w:t>838,42 tūkst. Eur padidėjo dėl iš Nacionalinės žemės tarnybos valstybės patikėjimo teise gautos valdyti valstybinės žemės sklypų bei medynų. N</w:t>
      </w:r>
      <w:r>
        <w:t>uosavybės metodo įtaka (-) 1</w:t>
      </w:r>
      <w:r w:rsidR="00586D00">
        <w:t xml:space="preserve"> </w:t>
      </w:r>
      <w:r>
        <w:t xml:space="preserve">325,20 tūkst. Eur, kuri finansiniu laikotarpiu sumažėjo 0,68 tūkst. Eur. </w:t>
      </w:r>
    </w:p>
    <w:p w14:paraId="072AF862" w14:textId="6106F284" w:rsidR="008A6560" w:rsidRDefault="005322E1" w:rsidP="00A215E7">
      <w:pPr>
        <w:tabs>
          <w:tab w:val="left" w:pos="720"/>
        </w:tabs>
        <w:ind w:firstLine="1247"/>
        <w:jc w:val="both"/>
      </w:pPr>
      <w:r>
        <w:t xml:space="preserve">Konsoliduota informacija apie Savivaldybės grynąjį turtą ataskaitinio laikotarpio pabaigoje pateikta Grynojo turto pokyčių ataskaitoje. </w:t>
      </w:r>
    </w:p>
    <w:p w14:paraId="072AF863" w14:textId="77777777" w:rsidR="008A6560" w:rsidRDefault="008A6560" w:rsidP="00A215E7">
      <w:pPr>
        <w:tabs>
          <w:tab w:val="left" w:pos="720"/>
        </w:tabs>
        <w:ind w:firstLine="1247"/>
        <w:jc w:val="both"/>
      </w:pPr>
    </w:p>
    <w:p w14:paraId="072AF864" w14:textId="6292A604" w:rsidR="008A6560" w:rsidRDefault="005322E1" w:rsidP="00A215E7">
      <w:pPr>
        <w:tabs>
          <w:tab w:val="left" w:pos="720"/>
        </w:tabs>
        <w:ind w:firstLine="1247"/>
        <w:jc w:val="both"/>
        <w:rPr>
          <w:b/>
        </w:rPr>
      </w:pPr>
      <w:r>
        <w:rPr>
          <w:b/>
        </w:rPr>
        <w:t>Mokesčių pajamos (P19)</w:t>
      </w:r>
    </w:p>
    <w:p w14:paraId="072AF865" w14:textId="2EF7CF28" w:rsidR="008A6560" w:rsidRDefault="005322E1" w:rsidP="00A215E7">
      <w:pPr>
        <w:tabs>
          <w:tab w:val="left" w:pos="720"/>
        </w:tabs>
        <w:ind w:firstLine="1247"/>
        <w:jc w:val="both"/>
      </w:pPr>
      <w:r>
        <w:t>Ataskaitinio laikotarpio pabaigoje mokesčių pajamos grynąja verte sudarė 18</w:t>
      </w:r>
      <w:r w:rsidR="00586D00">
        <w:t xml:space="preserve"> </w:t>
      </w:r>
      <w:r>
        <w:t>793,78 tūkst. Eur. Didžiąją mokesčių pajamų dalį, kaip ir ankstesniais ataskaitiniais laikotarpiais</w:t>
      </w:r>
      <w:r w:rsidR="00586D00">
        <w:t>,</w:t>
      </w:r>
      <w:r>
        <w:t xml:space="preserve"> sudarė gyventojų pajamų mokestis – 17</w:t>
      </w:r>
      <w:r w:rsidR="00586D00">
        <w:t xml:space="preserve"> </w:t>
      </w:r>
      <w:r>
        <w:t>994,69 tūkst. Eur.</w:t>
      </w:r>
    </w:p>
    <w:p w14:paraId="072AF866" w14:textId="73D2F3FD" w:rsidR="008A6560" w:rsidRDefault="005322E1" w:rsidP="00A215E7">
      <w:pPr>
        <w:tabs>
          <w:tab w:val="left" w:pos="720"/>
        </w:tabs>
        <w:ind w:firstLine="1247"/>
        <w:jc w:val="both"/>
        <w:rPr>
          <w:b/>
        </w:rPr>
      </w:pPr>
      <w:r>
        <w:t>Mokesčių sumos pagal atskirą mokestį grynąja verte pateikiam</w:t>
      </w:r>
      <w:r w:rsidR="00586D00">
        <w:t>os</w:t>
      </w:r>
      <w:r>
        <w:t xml:space="preserve"> žemiau esančioje 2 lentelėje ir šio aiškinamojo rašto P19 priede. </w:t>
      </w:r>
    </w:p>
    <w:p w14:paraId="072AF867" w14:textId="77777777" w:rsidR="008A6560" w:rsidRDefault="005322E1">
      <w:pPr>
        <w:tabs>
          <w:tab w:val="left" w:pos="720"/>
        </w:tabs>
        <w:spacing w:line="276" w:lineRule="auto"/>
        <w:jc w:val="center"/>
        <w:rPr>
          <w:i/>
          <w:sz w:val="22"/>
          <w:szCs w:val="22"/>
        </w:rPr>
      </w:pPr>
      <w:r>
        <w:rPr>
          <w:i/>
          <w:sz w:val="22"/>
          <w:szCs w:val="22"/>
        </w:rPr>
        <w:t xml:space="preserve">                                                   2 lentelė. Mokesčių sumos pagal atskirą mokestį grynąja verte (tūkst. Eur)</w:t>
      </w:r>
    </w:p>
    <w:tbl>
      <w:tblPr>
        <w:tblW w:w="9479" w:type="dxa"/>
        <w:jc w:val="center"/>
        <w:tblLayout w:type="fixed"/>
        <w:tblLook w:val="04A0" w:firstRow="1" w:lastRow="0" w:firstColumn="1" w:lastColumn="0" w:noHBand="0" w:noVBand="1"/>
      </w:tblPr>
      <w:tblGrid>
        <w:gridCol w:w="577"/>
        <w:gridCol w:w="4104"/>
        <w:gridCol w:w="2439"/>
        <w:gridCol w:w="2359"/>
      </w:tblGrid>
      <w:tr w:rsidR="008A6560" w14:paraId="072AF86C" w14:textId="77777777">
        <w:trPr>
          <w:trHeight w:val="657"/>
          <w:jc w:val="center"/>
        </w:trPr>
        <w:tc>
          <w:tcPr>
            <w:tcW w:w="577" w:type="dxa"/>
            <w:tcBorders>
              <w:top w:val="single" w:sz="4" w:space="0" w:color="000000"/>
              <w:left w:val="single" w:sz="4" w:space="0" w:color="000000"/>
              <w:bottom w:val="single" w:sz="4" w:space="0" w:color="000000"/>
              <w:right w:val="single" w:sz="4" w:space="0" w:color="000000"/>
            </w:tcBorders>
            <w:vAlign w:val="bottom"/>
          </w:tcPr>
          <w:p w14:paraId="072AF868" w14:textId="77777777" w:rsidR="008A6560" w:rsidRDefault="005322E1">
            <w:pPr>
              <w:spacing w:line="276" w:lineRule="auto"/>
            </w:pPr>
            <w:r>
              <w:t xml:space="preserve">Eil. Nr. </w:t>
            </w:r>
          </w:p>
        </w:tc>
        <w:tc>
          <w:tcPr>
            <w:tcW w:w="4104" w:type="dxa"/>
            <w:tcBorders>
              <w:top w:val="single" w:sz="4" w:space="0" w:color="000000"/>
              <w:bottom w:val="single" w:sz="4" w:space="0" w:color="000000"/>
              <w:right w:val="single" w:sz="4" w:space="0" w:color="000000"/>
            </w:tcBorders>
            <w:vAlign w:val="center"/>
          </w:tcPr>
          <w:p w14:paraId="072AF869" w14:textId="77777777" w:rsidR="008A6560" w:rsidRDefault="005322E1">
            <w:pPr>
              <w:spacing w:line="276" w:lineRule="auto"/>
              <w:jc w:val="center"/>
            </w:pPr>
            <w:r>
              <w:t>Mokesčio pavadinimas</w:t>
            </w:r>
          </w:p>
        </w:tc>
        <w:tc>
          <w:tcPr>
            <w:tcW w:w="2439" w:type="dxa"/>
            <w:tcBorders>
              <w:top w:val="single" w:sz="4" w:space="0" w:color="000000"/>
              <w:bottom w:val="single" w:sz="4" w:space="0" w:color="000000"/>
              <w:right w:val="single" w:sz="4" w:space="0" w:color="000000"/>
            </w:tcBorders>
            <w:vAlign w:val="center"/>
          </w:tcPr>
          <w:p w14:paraId="072AF86A" w14:textId="77777777" w:rsidR="008A6560" w:rsidRDefault="005322E1">
            <w:pPr>
              <w:spacing w:line="276" w:lineRule="auto"/>
              <w:jc w:val="center"/>
            </w:pPr>
            <w:r>
              <w:t>Ataskaitinis laikotarpis</w:t>
            </w:r>
          </w:p>
        </w:tc>
        <w:tc>
          <w:tcPr>
            <w:tcW w:w="2359" w:type="dxa"/>
            <w:tcBorders>
              <w:top w:val="single" w:sz="4" w:space="0" w:color="000000"/>
              <w:bottom w:val="single" w:sz="4" w:space="0" w:color="000000"/>
              <w:right w:val="single" w:sz="4" w:space="0" w:color="000000"/>
            </w:tcBorders>
          </w:tcPr>
          <w:p w14:paraId="072AF86B" w14:textId="77777777" w:rsidR="008A6560" w:rsidRDefault="005322E1">
            <w:pPr>
              <w:spacing w:line="276" w:lineRule="auto"/>
              <w:jc w:val="center"/>
            </w:pPr>
            <w:r>
              <w:t xml:space="preserve">Praėjęs ataskaitinis laikotarpis </w:t>
            </w:r>
          </w:p>
        </w:tc>
      </w:tr>
      <w:tr w:rsidR="008A6560" w14:paraId="072AF871" w14:textId="77777777">
        <w:trPr>
          <w:trHeight w:val="285"/>
          <w:jc w:val="center"/>
        </w:trPr>
        <w:tc>
          <w:tcPr>
            <w:tcW w:w="577" w:type="dxa"/>
            <w:tcBorders>
              <w:left w:val="single" w:sz="4" w:space="0" w:color="000000"/>
              <w:bottom w:val="single" w:sz="4" w:space="0" w:color="000000"/>
              <w:right w:val="single" w:sz="4" w:space="0" w:color="000000"/>
            </w:tcBorders>
            <w:vAlign w:val="bottom"/>
          </w:tcPr>
          <w:p w14:paraId="072AF86D" w14:textId="77777777" w:rsidR="008A6560" w:rsidRPr="00C33964" w:rsidRDefault="005322E1">
            <w:pPr>
              <w:spacing w:line="276" w:lineRule="auto"/>
              <w:rPr>
                <w:bCs/>
              </w:rPr>
            </w:pPr>
            <w:r w:rsidRPr="00C33964">
              <w:rPr>
                <w:bCs/>
              </w:rPr>
              <w:t xml:space="preserve">1. </w:t>
            </w:r>
          </w:p>
        </w:tc>
        <w:tc>
          <w:tcPr>
            <w:tcW w:w="4104" w:type="dxa"/>
            <w:tcBorders>
              <w:bottom w:val="single" w:sz="4" w:space="0" w:color="000000"/>
              <w:right w:val="single" w:sz="4" w:space="0" w:color="000000"/>
            </w:tcBorders>
            <w:vAlign w:val="bottom"/>
          </w:tcPr>
          <w:p w14:paraId="072AF86E" w14:textId="77777777" w:rsidR="008A6560" w:rsidRDefault="005322E1">
            <w:pPr>
              <w:spacing w:line="276" w:lineRule="auto"/>
              <w:rPr>
                <w:b/>
              </w:rPr>
            </w:pPr>
            <w:r>
              <w:rPr>
                <w:b/>
              </w:rPr>
              <w:t>Pajamų ir pelno mokesčių iš viso</w:t>
            </w:r>
          </w:p>
        </w:tc>
        <w:tc>
          <w:tcPr>
            <w:tcW w:w="2439" w:type="dxa"/>
            <w:tcBorders>
              <w:bottom w:val="single" w:sz="4" w:space="0" w:color="000000"/>
              <w:right w:val="single" w:sz="4" w:space="0" w:color="000000"/>
            </w:tcBorders>
            <w:vAlign w:val="bottom"/>
          </w:tcPr>
          <w:p w14:paraId="072AF86F" w14:textId="77777777" w:rsidR="008A6560" w:rsidRDefault="005322E1">
            <w:pPr>
              <w:spacing w:line="276" w:lineRule="auto"/>
              <w:jc w:val="center"/>
              <w:rPr>
                <w:b/>
              </w:rPr>
            </w:pPr>
            <w:r>
              <w:rPr>
                <w:b/>
              </w:rPr>
              <w:t>17.994,69</w:t>
            </w:r>
          </w:p>
        </w:tc>
        <w:tc>
          <w:tcPr>
            <w:tcW w:w="2359" w:type="dxa"/>
            <w:tcBorders>
              <w:bottom w:val="single" w:sz="4" w:space="0" w:color="000000"/>
              <w:right w:val="single" w:sz="4" w:space="0" w:color="000000"/>
            </w:tcBorders>
            <w:vAlign w:val="bottom"/>
          </w:tcPr>
          <w:p w14:paraId="072AF870" w14:textId="77777777" w:rsidR="008A6560" w:rsidRDefault="005322E1">
            <w:pPr>
              <w:spacing w:line="276" w:lineRule="auto"/>
              <w:jc w:val="center"/>
              <w:rPr>
                <w:b/>
              </w:rPr>
            </w:pPr>
            <w:r>
              <w:rPr>
                <w:b/>
              </w:rPr>
              <w:t>16.647,31</w:t>
            </w:r>
          </w:p>
        </w:tc>
      </w:tr>
      <w:tr w:rsidR="008A6560" w14:paraId="072AF876" w14:textId="77777777">
        <w:trPr>
          <w:trHeight w:val="360"/>
          <w:jc w:val="center"/>
        </w:trPr>
        <w:tc>
          <w:tcPr>
            <w:tcW w:w="577" w:type="dxa"/>
            <w:tcBorders>
              <w:left w:val="single" w:sz="4" w:space="0" w:color="000000"/>
              <w:bottom w:val="single" w:sz="4" w:space="0" w:color="000000"/>
              <w:right w:val="single" w:sz="4" w:space="0" w:color="000000"/>
            </w:tcBorders>
            <w:vAlign w:val="bottom"/>
          </w:tcPr>
          <w:p w14:paraId="072AF872" w14:textId="4000DF1F" w:rsidR="008A6560" w:rsidRPr="00C33964" w:rsidRDefault="005322E1">
            <w:pPr>
              <w:spacing w:line="276" w:lineRule="auto"/>
              <w:rPr>
                <w:bCs/>
              </w:rPr>
            </w:pPr>
            <w:r w:rsidRPr="00C33964">
              <w:rPr>
                <w:bCs/>
              </w:rPr>
              <w:t>1.1</w:t>
            </w:r>
            <w:r w:rsidR="00586D00" w:rsidRPr="00586D00">
              <w:rPr>
                <w:bCs/>
              </w:rPr>
              <w:t>.</w:t>
            </w:r>
          </w:p>
        </w:tc>
        <w:tc>
          <w:tcPr>
            <w:tcW w:w="4104" w:type="dxa"/>
            <w:tcBorders>
              <w:bottom w:val="single" w:sz="4" w:space="0" w:color="000000"/>
              <w:right w:val="single" w:sz="4" w:space="0" w:color="000000"/>
            </w:tcBorders>
            <w:vAlign w:val="bottom"/>
          </w:tcPr>
          <w:p w14:paraId="072AF873" w14:textId="77777777" w:rsidR="008A6560" w:rsidRDefault="005322E1">
            <w:pPr>
              <w:spacing w:line="276" w:lineRule="auto"/>
              <w:rPr>
                <w:i/>
                <w:iCs/>
                <w:sz w:val="22"/>
                <w:szCs w:val="22"/>
              </w:rPr>
            </w:pPr>
            <w:r>
              <w:rPr>
                <w:i/>
                <w:iCs/>
                <w:sz w:val="22"/>
                <w:szCs w:val="22"/>
              </w:rPr>
              <w:t>Gyventojų pajamų mokestis</w:t>
            </w:r>
          </w:p>
        </w:tc>
        <w:tc>
          <w:tcPr>
            <w:tcW w:w="2439" w:type="dxa"/>
            <w:tcBorders>
              <w:bottom w:val="single" w:sz="4" w:space="0" w:color="000000"/>
              <w:right w:val="single" w:sz="4" w:space="0" w:color="000000"/>
            </w:tcBorders>
            <w:vAlign w:val="bottom"/>
          </w:tcPr>
          <w:p w14:paraId="072AF874" w14:textId="77777777" w:rsidR="008A6560" w:rsidRDefault="005322E1">
            <w:pPr>
              <w:spacing w:line="276" w:lineRule="auto"/>
              <w:jc w:val="center"/>
            </w:pPr>
            <w:r>
              <w:t>17.994,69</w:t>
            </w:r>
          </w:p>
        </w:tc>
        <w:tc>
          <w:tcPr>
            <w:tcW w:w="2359" w:type="dxa"/>
            <w:tcBorders>
              <w:bottom w:val="single" w:sz="4" w:space="0" w:color="000000"/>
              <w:right w:val="single" w:sz="4" w:space="0" w:color="000000"/>
            </w:tcBorders>
            <w:vAlign w:val="bottom"/>
          </w:tcPr>
          <w:p w14:paraId="072AF875" w14:textId="77777777" w:rsidR="008A6560" w:rsidRDefault="005322E1">
            <w:pPr>
              <w:spacing w:line="276" w:lineRule="auto"/>
              <w:jc w:val="center"/>
            </w:pPr>
            <w:r>
              <w:t>16.647,31</w:t>
            </w:r>
          </w:p>
        </w:tc>
      </w:tr>
      <w:tr w:rsidR="008A6560" w14:paraId="072AF87B" w14:textId="77777777">
        <w:trPr>
          <w:trHeight w:val="390"/>
          <w:jc w:val="center"/>
        </w:trPr>
        <w:tc>
          <w:tcPr>
            <w:tcW w:w="577" w:type="dxa"/>
            <w:tcBorders>
              <w:left w:val="single" w:sz="4" w:space="0" w:color="000000"/>
              <w:bottom w:val="single" w:sz="4" w:space="0" w:color="000000"/>
              <w:right w:val="single" w:sz="4" w:space="0" w:color="000000"/>
            </w:tcBorders>
            <w:vAlign w:val="bottom"/>
          </w:tcPr>
          <w:p w14:paraId="072AF877" w14:textId="77777777" w:rsidR="008A6560" w:rsidRPr="00C33964" w:rsidRDefault="005322E1">
            <w:pPr>
              <w:spacing w:line="276" w:lineRule="auto"/>
              <w:rPr>
                <w:bCs/>
              </w:rPr>
            </w:pPr>
            <w:r w:rsidRPr="00C33964">
              <w:rPr>
                <w:bCs/>
              </w:rPr>
              <w:t xml:space="preserve">2. </w:t>
            </w:r>
          </w:p>
        </w:tc>
        <w:tc>
          <w:tcPr>
            <w:tcW w:w="4104" w:type="dxa"/>
            <w:tcBorders>
              <w:bottom w:val="single" w:sz="4" w:space="0" w:color="000000"/>
              <w:right w:val="single" w:sz="4" w:space="0" w:color="000000"/>
            </w:tcBorders>
            <w:vAlign w:val="bottom"/>
          </w:tcPr>
          <w:p w14:paraId="072AF878" w14:textId="77777777" w:rsidR="008A6560" w:rsidRDefault="005322E1">
            <w:pPr>
              <w:spacing w:line="276" w:lineRule="auto"/>
              <w:rPr>
                <w:b/>
              </w:rPr>
            </w:pPr>
            <w:r>
              <w:rPr>
                <w:b/>
              </w:rPr>
              <w:t>Turto mokesčių iš viso</w:t>
            </w:r>
          </w:p>
        </w:tc>
        <w:tc>
          <w:tcPr>
            <w:tcW w:w="2439" w:type="dxa"/>
            <w:tcBorders>
              <w:bottom w:val="single" w:sz="4" w:space="0" w:color="000000"/>
              <w:right w:val="single" w:sz="4" w:space="0" w:color="000000"/>
            </w:tcBorders>
            <w:vAlign w:val="bottom"/>
          </w:tcPr>
          <w:p w14:paraId="072AF879" w14:textId="77777777" w:rsidR="008A6560" w:rsidRDefault="005322E1">
            <w:pPr>
              <w:spacing w:line="276" w:lineRule="auto"/>
              <w:jc w:val="center"/>
              <w:rPr>
                <w:b/>
              </w:rPr>
            </w:pPr>
            <w:r>
              <w:rPr>
                <w:b/>
              </w:rPr>
              <w:t>742,92</w:t>
            </w:r>
          </w:p>
        </w:tc>
        <w:tc>
          <w:tcPr>
            <w:tcW w:w="2359" w:type="dxa"/>
            <w:tcBorders>
              <w:bottom w:val="single" w:sz="4" w:space="0" w:color="000000"/>
              <w:right w:val="single" w:sz="4" w:space="0" w:color="000000"/>
            </w:tcBorders>
            <w:vAlign w:val="bottom"/>
          </w:tcPr>
          <w:p w14:paraId="072AF87A" w14:textId="77777777" w:rsidR="008A6560" w:rsidRDefault="005322E1">
            <w:pPr>
              <w:spacing w:line="276" w:lineRule="auto"/>
              <w:jc w:val="center"/>
              <w:rPr>
                <w:b/>
              </w:rPr>
            </w:pPr>
            <w:r>
              <w:rPr>
                <w:b/>
              </w:rPr>
              <w:t>746,45</w:t>
            </w:r>
          </w:p>
        </w:tc>
      </w:tr>
      <w:tr w:rsidR="008A6560" w14:paraId="072AF880" w14:textId="77777777">
        <w:trPr>
          <w:trHeight w:val="375"/>
          <w:jc w:val="center"/>
        </w:trPr>
        <w:tc>
          <w:tcPr>
            <w:tcW w:w="577" w:type="dxa"/>
            <w:tcBorders>
              <w:left w:val="single" w:sz="4" w:space="0" w:color="000000"/>
              <w:bottom w:val="single" w:sz="4" w:space="0" w:color="000000"/>
              <w:right w:val="single" w:sz="4" w:space="0" w:color="000000"/>
            </w:tcBorders>
            <w:vAlign w:val="bottom"/>
          </w:tcPr>
          <w:p w14:paraId="072AF87C" w14:textId="077CF2CF" w:rsidR="008A6560" w:rsidRPr="00C33964" w:rsidRDefault="005322E1">
            <w:pPr>
              <w:spacing w:line="276" w:lineRule="auto"/>
              <w:rPr>
                <w:bCs/>
              </w:rPr>
            </w:pPr>
            <w:r w:rsidRPr="00C33964">
              <w:rPr>
                <w:bCs/>
              </w:rPr>
              <w:t>2.1</w:t>
            </w:r>
            <w:r w:rsidR="00586D00" w:rsidRPr="00C33964">
              <w:rPr>
                <w:bCs/>
              </w:rPr>
              <w:t>.</w:t>
            </w:r>
          </w:p>
        </w:tc>
        <w:tc>
          <w:tcPr>
            <w:tcW w:w="4104" w:type="dxa"/>
            <w:tcBorders>
              <w:bottom w:val="single" w:sz="4" w:space="0" w:color="000000"/>
              <w:right w:val="single" w:sz="4" w:space="0" w:color="000000"/>
            </w:tcBorders>
            <w:vAlign w:val="bottom"/>
          </w:tcPr>
          <w:p w14:paraId="072AF87D" w14:textId="77777777" w:rsidR="008A6560" w:rsidRDefault="005322E1">
            <w:pPr>
              <w:spacing w:line="276" w:lineRule="auto"/>
              <w:rPr>
                <w:i/>
                <w:iCs/>
                <w:sz w:val="22"/>
                <w:szCs w:val="22"/>
              </w:rPr>
            </w:pPr>
            <w:r>
              <w:rPr>
                <w:i/>
                <w:iCs/>
                <w:sz w:val="22"/>
                <w:szCs w:val="22"/>
              </w:rPr>
              <w:t>Žemės mokestis</w:t>
            </w:r>
          </w:p>
        </w:tc>
        <w:tc>
          <w:tcPr>
            <w:tcW w:w="2439" w:type="dxa"/>
            <w:tcBorders>
              <w:bottom w:val="single" w:sz="4" w:space="0" w:color="000000"/>
              <w:right w:val="single" w:sz="4" w:space="0" w:color="000000"/>
            </w:tcBorders>
            <w:vAlign w:val="bottom"/>
          </w:tcPr>
          <w:p w14:paraId="072AF87E" w14:textId="77777777" w:rsidR="008A6560" w:rsidRDefault="005322E1">
            <w:pPr>
              <w:spacing w:line="276" w:lineRule="auto"/>
              <w:jc w:val="center"/>
            </w:pPr>
            <w:r>
              <w:t>534,97</w:t>
            </w:r>
          </w:p>
        </w:tc>
        <w:tc>
          <w:tcPr>
            <w:tcW w:w="2359" w:type="dxa"/>
            <w:tcBorders>
              <w:bottom w:val="single" w:sz="4" w:space="0" w:color="000000"/>
              <w:right w:val="single" w:sz="4" w:space="0" w:color="000000"/>
            </w:tcBorders>
            <w:vAlign w:val="bottom"/>
          </w:tcPr>
          <w:p w14:paraId="072AF87F" w14:textId="77777777" w:rsidR="008A6560" w:rsidRDefault="005322E1">
            <w:pPr>
              <w:spacing w:line="276" w:lineRule="auto"/>
              <w:jc w:val="center"/>
            </w:pPr>
            <w:r>
              <w:t>528,75</w:t>
            </w:r>
          </w:p>
        </w:tc>
      </w:tr>
      <w:tr w:rsidR="008A6560" w14:paraId="072AF885" w14:textId="77777777">
        <w:trPr>
          <w:trHeight w:val="295"/>
          <w:jc w:val="center"/>
        </w:trPr>
        <w:tc>
          <w:tcPr>
            <w:tcW w:w="577" w:type="dxa"/>
            <w:tcBorders>
              <w:left w:val="single" w:sz="4" w:space="0" w:color="000000"/>
              <w:bottom w:val="single" w:sz="4" w:space="0" w:color="000000"/>
              <w:right w:val="single" w:sz="4" w:space="0" w:color="000000"/>
            </w:tcBorders>
            <w:vAlign w:val="bottom"/>
          </w:tcPr>
          <w:p w14:paraId="072AF881" w14:textId="12E82DA3" w:rsidR="008A6560" w:rsidRPr="00C33964" w:rsidRDefault="005322E1">
            <w:pPr>
              <w:rPr>
                <w:bCs/>
              </w:rPr>
            </w:pPr>
            <w:r w:rsidRPr="00C33964">
              <w:rPr>
                <w:bCs/>
              </w:rPr>
              <w:t>2.2</w:t>
            </w:r>
            <w:r w:rsidR="00586D00" w:rsidRPr="00C33964">
              <w:rPr>
                <w:bCs/>
              </w:rPr>
              <w:t>.</w:t>
            </w:r>
          </w:p>
        </w:tc>
        <w:tc>
          <w:tcPr>
            <w:tcW w:w="4104" w:type="dxa"/>
            <w:tcBorders>
              <w:bottom w:val="single" w:sz="4" w:space="0" w:color="000000"/>
              <w:right w:val="single" w:sz="4" w:space="0" w:color="000000"/>
            </w:tcBorders>
            <w:vAlign w:val="bottom"/>
          </w:tcPr>
          <w:p w14:paraId="072AF882" w14:textId="77777777" w:rsidR="008A6560" w:rsidRDefault="005322E1">
            <w:pPr>
              <w:rPr>
                <w:i/>
                <w:iCs/>
                <w:sz w:val="22"/>
                <w:szCs w:val="22"/>
              </w:rPr>
            </w:pPr>
            <w:r>
              <w:rPr>
                <w:i/>
                <w:iCs/>
                <w:sz w:val="22"/>
                <w:szCs w:val="22"/>
              </w:rPr>
              <w:t>Paveldimo turto mokestis</w:t>
            </w:r>
          </w:p>
        </w:tc>
        <w:tc>
          <w:tcPr>
            <w:tcW w:w="2439" w:type="dxa"/>
            <w:tcBorders>
              <w:bottom w:val="single" w:sz="4" w:space="0" w:color="000000"/>
              <w:right w:val="single" w:sz="4" w:space="0" w:color="000000"/>
            </w:tcBorders>
            <w:vAlign w:val="bottom"/>
          </w:tcPr>
          <w:p w14:paraId="072AF883" w14:textId="77777777" w:rsidR="008A6560" w:rsidRDefault="005322E1">
            <w:pPr>
              <w:jc w:val="center"/>
            </w:pPr>
            <w:r>
              <w:t>5,81</w:t>
            </w:r>
          </w:p>
        </w:tc>
        <w:tc>
          <w:tcPr>
            <w:tcW w:w="2359" w:type="dxa"/>
            <w:tcBorders>
              <w:bottom w:val="single" w:sz="4" w:space="0" w:color="000000"/>
              <w:right w:val="single" w:sz="4" w:space="0" w:color="000000"/>
            </w:tcBorders>
            <w:vAlign w:val="bottom"/>
          </w:tcPr>
          <w:p w14:paraId="072AF884" w14:textId="77777777" w:rsidR="008A6560" w:rsidRDefault="005322E1">
            <w:pPr>
              <w:jc w:val="center"/>
            </w:pPr>
            <w:r>
              <w:t>13,71</w:t>
            </w:r>
          </w:p>
        </w:tc>
      </w:tr>
      <w:tr w:rsidR="008A6560" w14:paraId="072AF88A" w14:textId="77777777">
        <w:trPr>
          <w:trHeight w:val="420"/>
          <w:jc w:val="center"/>
        </w:trPr>
        <w:tc>
          <w:tcPr>
            <w:tcW w:w="577" w:type="dxa"/>
            <w:tcBorders>
              <w:left w:val="single" w:sz="4" w:space="0" w:color="000000"/>
              <w:bottom w:val="single" w:sz="4" w:space="0" w:color="000000"/>
              <w:right w:val="single" w:sz="4" w:space="0" w:color="000000"/>
            </w:tcBorders>
            <w:vAlign w:val="bottom"/>
          </w:tcPr>
          <w:p w14:paraId="072AF886" w14:textId="1F113F10" w:rsidR="008A6560" w:rsidRPr="00C33964" w:rsidRDefault="005322E1">
            <w:pPr>
              <w:spacing w:line="276" w:lineRule="auto"/>
              <w:rPr>
                <w:bCs/>
              </w:rPr>
            </w:pPr>
            <w:r w:rsidRPr="00C33964">
              <w:rPr>
                <w:bCs/>
              </w:rPr>
              <w:t>2.3</w:t>
            </w:r>
            <w:r w:rsidR="00586D00" w:rsidRPr="00C33964">
              <w:rPr>
                <w:bCs/>
              </w:rPr>
              <w:t>.</w:t>
            </w:r>
          </w:p>
        </w:tc>
        <w:tc>
          <w:tcPr>
            <w:tcW w:w="4104" w:type="dxa"/>
            <w:tcBorders>
              <w:bottom w:val="single" w:sz="4" w:space="0" w:color="000000"/>
              <w:right w:val="single" w:sz="4" w:space="0" w:color="000000"/>
            </w:tcBorders>
            <w:vAlign w:val="bottom"/>
          </w:tcPr>
          <w:p w14:paraId="072AF887" w14:textId="77777777" w:rsidR="008A6560" w:rsidRDefault="005322E1">
            <w:pPr>
              <w:spacing w:line="276" w:lineRule="auto"/>
              <w:rPr>
                <w:i/>
                <w:iCs/>
                <w:sz w:val="22"/>
                <w:szCs w:val="22"/>
              </w:rPr>
            </w:pPr>
            <w:r>
              <w:rPr>
                <w:i/>
                <w:iCs/>
                <w:sz w:val="22"/>
                <w:szCs w:val="22"/>
              </w:rPr>
              <w:t>Nekilnojamojo turto mokestis</w:t>
            </w:r>
          </w:p>
        </w:tc>
        <w:tc>
          <w:tcPr>
            <w:tcW w:w="2439" w:type="dxa"/>
            <w:tcBorders>
              <w:bottom w:val="single" w:sz="4" w:space="0" w:color="000000"/>
              <w:right w:val="single" w:sz="4" w:space="0" w:color="000000"/>
            </w:tcBorders>
            <w:vAlign w:val="bottom"/>
          </w:tcPr>
          <w:p w14:paraId="072AF888" w14:textId="77777777" w:rsidR="008A6560" w:rsidRDefault="005322E1">
            <w:pPr>
              <w:spacing w:line="276" w:lineRule="auto"/>
              <w:jc w:val="center"/>
            </w:pPr>
            <w:r>
              <w:t>202,14</w:t>
            </w:r>
          </w:p>
        </w:tc>
        <w:tc>
          <w:tcPr>
            <w:tcW w:w="2359" w:type="dxa"/>
            <w:tcBorders>
              <w:bottom w:val="single" w:sz="4" w:space="0" w:color="000000"/>
              <w:right w:val="single" w:sz="4" w:space="0" w:color="000000"/>
            </w:tcBorders>
            <w:vAlign w:val="bottom"/>
          </w:tcPr>
          <w:p w14:paraId="072AF889" w14:textId="77777777" w:rsidR="008A6560" w:rsidRDefault="005322E1">
            <w:pPr>
              <w:spacing w:line="276" w:lineRule="auto"/>
              <w:jc w:val="center"/>
            </w:pPr>
            <w:r>
              <w:t>203,99</w:t>
            </w:r>
          </w:p>
        </w:tc>
      </w:tr>
      <w:tr w:rsidR="008A6560" w14:paraId="072AF88F" w14:textId="77777777">
        <w:trPr>
          <w:trHeight w:val="315"/>
          <w:jc w:val="center"/>
        </w:trPr>
        <w:tc>
          <w:tcPr>
            <w:tcW w:w="577" w:type="dxa"/>
            <w:tcBorders>
              <w:left w:val="single" w:sz="4" w:space="0" w:color="000000"/>
              <w:bottom w:val="single" w:sz="4" w:space="0" w:color="000000"/>
              <w:right w:val="single" w:sz="4" w:space="0" w:color="000000"/>
            </w:tcBorders>
            <w:vAlign w:val="bottom"/>
          </w:tcPr>
          <w:p w14:paraId="072AF88B" w14:textId="77777777" w:rsidR="008A6560" w:rsidRPr="00C33964" w:rsidRDefault="005322E1">
            <w:pPr>
              <w:spacing w:line="276" w:lineRule="auto"/>
              <w:rPr>
                <w:bCs/>
              </w:rPr>
            </w:pPr>
            <w:r w:rsidRPr="00C33964">
              <w:rPr>
                <w:bCs/>
              </w:rPr>
              <w:t>3.</w:t>
            </w:r>
          </w:p>
        </w:tc>
        <w:tc>
          <w:tcPr>
            <w:tcW w:w="4104" w:type="dxa"/>
            <w:tcBorders>
              <w:bottom w:val="single" w:sz="4" w:space="0" w:color="000000"/>
              <w:right w:val="single" w:sz="4" w:space="0" w:color="000000"/>
            </w:tcBorders>
            <w:vAlign w:val="bottom"/>
          </w:tcPr>
          <w:p w14:paraId="072AF88C" w14:textId="77777777" w:rsidR="008A6560" w:rsidRDefault="005322E1">
            <w:pPr>
              <w:spacing w:line="276" w:lineRule="auto"/>
              <w:rPr>
                <w:b/>
              </w:rPr>
            </w:pPr>
            <w:r>
              <w:rPr>
                <w:b/>
              </w:rPr>
              <w:t>Kitų mokesčių iš viso</w:t>
            </w:r>
          </w:p>
        </w:tc>
        <w:tc>
          <w:tcPr>
            <w:tcW w:w="2439" w:type="dxa"/>
            <w:tcBorders>
              <w:bottom w:val="single" w:sz="4" w:space="0" w:color="000000"/>
              <w:right w:val="single" w:sz="4" w:space="0" w:color="000000"/>
            </w:tcBorders>
            <w:vAlign w:val="bottom"/>
          </w:tcPr>
          <w:p w14:paraId="072AF88D" w14:textId="77777777" w:rsidR="008A6560" w:rsidRDefault="005322E1">
            <w:pPr>
              <w:spacing w:line="276" w:lineRule="auto"/>
              <w:jc w:val="center"/>
              <w:rPr>
                <w:b/>
              </w:rPr>
            </w:pPr>
            <w:r>
              <w:rPr>
                <w:b/>
              </w:rPr>
              <w:t>56,17</w:t>
            </w:r>
          </w:p>
        </w:tc>
        <w:tc>
          <w:tcPr>
            <w:tcW w:w="2359" w:type="dxa"/>
            <w:tcBorders>
              <w:bottom w:val="single" w:sz="4" w:space="0" w:color="000000"/>
              <w:right w:val="single" w:sz="4" w:space="0" w:color="000000"/>
            </w:tcBorders>
            <w:vAlign w:val="bottom"/>
          </w:tcPr>
          <w:p w14:paraId="072AF88E" w14:textId="77777777" w:rsidR="008A6560" w:rsidRDefault="005322E1">
            <w:pPr>
              <w:spacing w:line="276" w:lineRule="auto"/>
              <w:jc w:val="center"/>
              <w:rPr>
                <w:b/>
              </w:rPr>
            </w:pPr>
            <w:r>
              <w:rPr>
                <w:b/>
              </w:rPr>
              <w:t>54,33</w:t>
            </w:r>
          </w:p>
        </w:tc>
      </w:tr>
      <w:tr w:rsidR="008A6560" w14:paraId="072AF894" w14:textId="77777777">
        <w:trPr>
          <w:trHeight w:val="307"/>
          <w:jc w:val="center"/>
        </w:trPr>
        <w:tc>
          <w:tcPr>
            <w:tcW w:w="577" w:type="dxa"/>
            <w:tcBorders>
              <w:left w:val="single" w:sz="4" w:space="0" w:color="000000"/>
              <w:bottom w:val="single" w:sz="4" w:space="0" w:color="000000"/>
              <w:right w:val="single" w:sz="4" w:space="0" w:color="000000"/>
            </w:tcBorders>
            <w:vAlign w:val="bottom"/>
          </w:tcPr>
          <w:p w14:paraId="072AF890" w14:textId="77777777" w:rsidR="008A6560" w:rsidRPr="00586D00" w:rsidRDefault="005322E1">
            <w:pPr>
              <w:spacing w:line="276" w:lineRule="auto"/>
              <w:rPr>
                <w:bCs/>
              </w:rPr>
            </w:pPr>
            <w:r w:rsidRPr="00586D00">
              <w:rPr>
                <w:bCs/>
              </w:rPr>
              <w:t>3.1</w:t>
            </w:r>
          </w:p>
        </w:tc>
        <w:tc>
          <w:tcPr>
            <w:tcW w:w="4104" w:type="dxa"/>
            <w:tcBorders>
              <w:bottom w:val="single" w:sz="4" w:space="0" w:color="000000"/>
              <w:right w:val="single" w:sz="4" w:space="0" w:color="000000"/>
            </w:tcBorders>
            <w:vAlign w:val="bottom"/>
          </w:tcPr>
          <w:p w14:paraId="072AF891" w14:textId="77777777" w:rsidR="008A6560" w:rsidRDefault="005322E1">
            <w:pPr>
              <w:spacing w:line="276" w:lineRule="auto"/>
              <w:rPr>
                <w:i/>
                <w:iCs/>
                <w:sz w:val="22"/>
                <w:szCs w:val="22"/>
              </w:rPr>
            </w:pPr>
            <w:r>
              <w:rPr>
                <w:i/>
                <w:iCs/>
                <w:sz w:val="22"/>
                <w:szCs w:val="22"/>
              </w:rPr>
              <w:t>Mokestis už valstybinius gamtos išteklius</w:t>
            </w:r>
          </w:p>
        </w:tc>
        <w:tc>
          <w:tcPr>
            <w:tcW w:w="2439" w:type="dxa"/>
            <w:tcBorders>
              <w:bottom w:val="single" w:sz="4" w:space="0" w:color="000000"/>
              <w:right w:val="single" w:sz="4" w:space="0" w:color="000000"/>
            </w:tcBorders>
            <w:vAlign w:val="bottom"/>
          </w:tcPr>
          <w:p w14:paraId="072AF892" w14:textId="77777777" w:rsidR="008A6560" w:rsidRDefault="005322E1">
            <w:pPr>
              <w:spacing w:line="276" w:lineRule="auto"/>
              <w:jc w:val="center"/>
            </w:pPr>
            <w:r>
              <w:t>29,86</w:t>
            </w:r>
          </w:p>
        </w:tc>
        <w:tc>
          <w:tcPr>
            <w:tcW w:w="2359" w:type="dxa"/>
            <w:tcBorders>
              <w:bottom w:val="single" w:sz="4" w:space="0" w:color="000000"/>
              <w:right w:val="single" w:sz="4" w:space="0" w:color="000000"/>
            </w:tcBorders>
            <w:vAlign w:val="bottom"/>
          </w:tcPr>
          <w:p w14:paraId="072AF893" w14:textId="77777777" w:rsidR="008A6560" w:rsidRDefault="005322E1">
            <w:pPr>
              <w:spacing w:line="276" w:lineRule="auto"/>
              <w:jc w:val="center"/>
            </w:pPr>
            <w:r>
              <w:t>29,03</w:t>
            </w:r>
          </w:p>
        </w:tc>
      </w:tr>
      <w:tr w:rsidR="008A6560" w14:paraId="072AF899" w14:textId="77777777">
        <w:trPr>
          <w:trHeight w:val="375"/>
          <w:jc w:val="center"/>
        </w:trPr>
        <w:tc>
          <w:tcPr>
            <w:tcW w:w="577" w:type="dxa"/>
            <w:tcBorders>
              <w:left w:val="single" w:sz="4" w:space="0" w:color="000000"/>
              <w:bottom w:val="single" w:sz="4" w:space="0" w:color="000000"/>
              <w:right w:val="single" w:sz="4" w:space="0" w:color="000000"/>
            </w:tcBorders>
            <w:vAlign w:val="bottom"/>
          </w:tcPr>
          <w:p w14:paraId="072AF895" w14:textId="77777777" w:rsidR="008A6560" w:rsidRPr="00586D00" w:rsidRDefault="005322E1">
            <w:pPr>
              <w:spacing w:line="276" w:lineRule="auto"/>
              <w:rPr>
                <w:bCs/>
              </w:rPr>
            </w:pPr>
            <w:r w:rsidRPr="00586D00">
              <w:rPr>
                <w:bCs/>
              </w:rPr>
              <w:t>3.2.</w:t>
            </w:r>
          </w:p>
        </w:tc>
        <w:tc>
          <w:tcPr>
            <w:tcW w:w="4104" w:type="dxa"/>
            <w:tcBorders>
              <w:bottom w:val="single" w:sz="4" w:space="0" w:color="000000"/>
              <w:right w:val="single" w:sz="4" w:space="0" w:color="000000"/>
            </w:tcBorders>
            <w:vAlign w:val="bottom"/>
          </w:tcPr>
          <w:p w14:paraId="072AF896" w14:textId="77777777" w:rsidR="008A6560" w:rsidRDefault="005322E1">
            <w:pPr>
              <w:spacing w:line="276" w:lineRule="auto"/>
              <w:rPr>
                <w:i/>
                <w:iCs/>
                <w:sz w:val="22"/>
                <w:szCs w:val="22"/>
              </w:rPr>
            </w:pPr>
            <w:r>
              <w:rPr>
                <w:i/>
                <w:iCs/>
                <w:sz w:val="22"/>
                <w:szCs w:val="22"/>
              </w:rPr>
              <w:t>Mokestis už aplinkos teršimą</w:t>
            </w:r>
          </w:p>
        </w:tc>
        <w:tc>
          <w:tcPr>
            <w:tcW w:w="2439" w:type="dxa"/>
            <w:tcBorders>
              <w:bottom w:val="single" w:sz="4" w:space="0" w:color="000000"/>
              <w:right w:val="single" w:sz="4" w:space="0" w:color="000000"/>
            </w:tcBorders>
            <w:vAlign w:val="bottom"/>
          </w:tcPr>
          <w:p w14:paraId="072AF897" w14:textId="77777777" w:rsidR="008A6560" w:rsidRDefault="005322E1">
            <w:pPr>
              <w:spacing w:line="276" w:lineRule="auto"/>
              <w:jc w:val="center"/>
            </w:pPr>
            <w:r>
              <w:t>26,31</w:t>
            </w:r>
          </w:p>
        </w:tc>
        <w:tc>
          <w:tcPr>
            <w:tcW w:w="2359" w:type="dxa"/>
            <w:tcBorders>
              <w:bottom w:val="single" w:sz="4" w:space="0" w:color="000000"/>
              <w:right w:val="single" w:sz="4" w:space="0" w:color="000000"/>
            </w:tcBorders>
            <w:vAlign w:val="bottom"/>
          </w:tcPr>
          <w:p w14:paraId="072AF898" w14:textId="77777777" w:rsidR="008A6560" w:rsidRDefault="005322E1">
            <w:pPr>
              <w:spacing w:line="276" w:lineRule="auto"/>
              <w:jc w:val="center"/>
            </w:pPr>
            <w:r>
              <w:t>25,30</w:t>
            </w:r>
          </w:p>
        </w:tc>
      </w:tr>
      <w:tr w:rsidR="008A6560" w14:paraId="072AF89E" w14:textId="77777777">
        <w:trPr>
          <w:trHeight w:val="390"/>
          <w:jc w:val="center"/>
        </w:trPr>
        <w:tc>
          <w:tcPr>
            <w:tcW w:w="577" w:type="dxa"/>
            <w:tcBorders>
              <w:left w:val="single" w:sz="4" w:space="0" w:color="000000"/>
              <w:bottom w:val="single" w:sz="4" w:space="0" w:color="000000"/>
              <w:right w:val="single" w:sz="4" w:space="0" w:color="000000"/>
            </w:tcBorders>
            <w:vAlign w:val="bottom"/>
          </w:tcPr>
          <w:p w14:paraId="072AF89A" w14:textId="77777777" w:rsidR="008A6560" w:rsidRPr="00C33964" w:rsidRDefault="005322E1">
            <w:pPr>
              <w:spacing w:line="276" w:lineRule="auto"/>
              <w:rPr>
                <w:bCs/>
              </w:rPr>
            </w:pPr>
            <w:r w:rsidRPr="00C33964">
              <w:rPr>
                <w:bCs/>
              </w:rPr>
              <w:t>4.</w:t>
            </w:r>
          </w:p>
        </w:tc>
        <w:tc>
          <w:tcPr>
            <w:tcW w:w="4104" w:type="dxa"/>
            <w:tcBorders>
              <w:bottom w:val="single" w:sz="4" w:space="0" w:color="000000"/>
              <w:right w:val="single" w:sz="4" w:space="0" w:color="000000"/>
            </w:tcBorders>
            <w:vAlign w:val="bottom"/>
          </w:tcPr>
          <w:p w14:paraId="072AF89B" w14:textId="77777777" w:rsidR="008A6560" w:rsidRDefault="005322E1">
            <w:pPr>
              <w:spacing w:line="276" w:lineRule="auto"/>
              <w:rPr>
                <w:b/>
                <w:bCs/>
              </w:rPr>
            </w:pPr>
            <w:r>
              <w:rPr>
                <w:b/>
                <w:bCs/>
              </w:rPr>
              <w:t>Mokesčių sumų iš viso</w:t>
            </w:r>
          </w:p>
        </w:tc>
        <w:tc>
          <w:tcPr>
            <w:tcW w:w="2439" w:type="dxa"/>
            <w:tcBorders>
              <w:bottom w:val="single" w:sz="4" w:space="0" w:color="000000"/>
              <w:right w:val="single" w:sz="4" w:space="0" w:color="000000"/>
            </w:tcBorders>
            <w:vAlign w:val="bottom"/>
          </w:tcPr>
          <w:p w14:paraId="072AF89C" w14:textId="77777777" w:rsidR="008A6560" w:rsidRDefault="005322E1">
            <w:pPr>
              <w:spacing w:line="276" w:lineRule="auto"/>
              <w:jc w:val="center"/>
              <w:rPr>
                <w:b/>
                <w:bCs/>
              </w:rPr>
            </w:pPr>
            <w:r>
              <w:rPr>
                <w:b/>
                <w:bCs/>
              </w:rPr>
              <w:t>18.793,78</w:t>
            </w:r>
          </w:p>
        </w:tc>
        <w:tc>
          <w:tcPr>
            <w:tcW w:w="2359" w:type="dxa"/>
            <w:tcBorders>
              <w:bottom w:val="single" w:sz="4" w:space="0" w:color="000000"/>
              <w:right w:val="single" w:sz="4" w:space="0" w:color="000000"/>
            </w:tcBorders>
            <w:vAlign w:val="bottom"/>
          </w:tcPr>
          <w:p w14:paraId="072AF89D" w14:textId="77777777" w:rsidR="008A6560" w:rsidRDefault="005322E1">
            <w:pPr>
              <w:spacing w:line="276" w:lineRule="auto"/>
              <w:jc w:val="center"/>
              <w:rPr>
                <w:b/>
                <w:bCs/>
              </w:rPr>
            </w:pPr>
            <w:r>
              <w:rPr>
                <w:b/>
                <w:bCs/>
              </w:rPr>
              <w:t>17.448,09</w:t>
            </w:r>
          </w:p>
        </w:tc>
      </w:tr>
    </w:tbl>
    <w:p w14:paraId="072AF89F" w14:textId="77777777" w:rsidR="008A6560" w:rsidRDefault="005322E1">
      <w:pPr>
        <w:tabs>
          <w:tab w:val="left" w:pos="720"/>
        </w:tabs>
        <w:spacing w:line="276" w:lineRule="auto"/>
        <w:jc w:val="both"/>
        <w:rPr>
          <w:b/>
        </w:rPr>
      </w:pPr>
      <w:r>
        <w:rPr>
          <w:b/>
        </w:rPr>
        <w:tab/>
      </w:r>
      <w:r>
        <w:rPr>
          <w:b/>
        </w:rPr>
        <w:tab/>
      </w:r>
    </w:p>
    <w:p w14:paraId="072AF8A0" w14:textId="7EE73588" w:rsidR="008A6560" w:rsidRDefault="005322E1" w:rsidP="00A215E7">
      <w:pPr>
        <w:tabs>
          <w:tab w:val="left" w:pos="720"/>
        </w:tabs>
        <w:ind w:firstLine="1247"/>
        <w:jc w:val="both"/>
        <w:rPr>
          <w:b/>
        </w:rPr>
      </w:pPr>
      <w:r>
        <w:rPr>
          <w:b/>
        </w:rPr>
        <w:t xml:space="preserve">Kitos pagrindinės veiklos pajamos ir kitos pajamos (P21) </w:t>
      </w:r>
    </w:p>
    <w:p w14:paraId="072AF8A1" w14:textId="06FD8FBB" w:rsidR="008A6560" w:rsidRDefault="005322E1" w:rsidP="00A215E7">
      <w:pPr>
        <w:tabs>
          <w:tab w:val="left" w:pos="720"/>
        </w:tabs>
        <w:ind w:firstLine="1247"/>
        <w:jc w:val="both"/>
      </w:pPr>
      <w:r>
        <w:t>Pagrindinės veiklos kitų pajamų suma ataskaitinio laikotarpio pabaigoje sudarė 5</w:t>
      </w:r>
      <w:r w:rsidR="00586D00">
        <w:t xml:space="preserve"> </w:t>
      </w:r>
      <w:r>
        <w:t>018,76 tūkst. Eur. Didžiąją dalį kitų pagrindinės veiklos pajamų sudarė suteiktų paslaugų pajamos – 4</w:t>
      </w:r>
      <w:r w:rsidR="00586D00">
        <w:t xml:space="preserve"> </w:t>
      </w:r>
      <w:r>
        <w:t xml:space="preserve">474,05 tūkst. Eur, pajamos iš rinkliavų – 517,19 tūkst. Eur, kitos pajamos – 27,52 tūkst. Eur. </w:t>
      </w:r>
    </w:p>
    <w:p w14:paraId="072AF8A2" w14:textId="487FAD02" w:rsidR="008A6560" w:rsidRDefault="005322E1" w:rsidP="00A215E7">
      <w:pPr>
        <w:tabs>
          <w:tab w:val="left" w:pos="720"/>
        </w:tabs>
        <w:ind w:firstLine="1247"/>
        <w:jc w:val="both"/>
      </w:pPr>
      <w:r>
        <w:t xml:space="preserve">Informacija apie kitos pagrindinės veiklos pajamas ir kitas pajamas pateikta P21 priede. </w:t>
      </w:r>
    </w:p>
    <w:p w14:paraId="072AF8A3" w14:textId="77777777" w:rsidR="008A6560" w:rsidRDefault="008A6560" w:rsidP="00A215E7">
      <w:pPr>
        <w:tabs>
          <w:tab w:val="left" w:pos="720"/>
        </w:tabs>
        <w:ind w:firstLine="1247"/>
        <w:jc w:val="both"/>
        <w:rPr>
          <w:b/>
        </w:rPr>
      </w:pPr>
    </w:p>
    <w:p w14:paraId="072AF8A4" w14:textId="651D08C8" w:rsidR="008A6560" w:rsidRDefault="005322E1" w:rsidP="00A215E7">
      <w:pPr>
        <w:tabs>
          <w:tab w:val="left" w:pos="720"/>
        </w:tabs>
        <w:ind w:firstLine="1247"/>
        <w:jc w:val="both"/>
        <w:rPr>
          <w:b/>
        </w:rPr>
      </w:pPr>
      <w:r>
        <w:rPr>
          <w:b/>
        </w:rPr>
        <w:t xml:space="preserve">Finansinės ir investicinės veiklos pajamos ir sąnaudos (P23) </w:t>
      </w:r>
    </w:p>
    <w:p w14:paraId="072AF8A5" w14:textId="25E6BF71" w:rsidR="008A6560" w:rsidRDefault="005322E1" w:rsidP="00A215E7">
      <w:pPr>
        <w:tabs>
          <w:tab w:val="left" w:pos="720"/>
        </w:tabs>
        <w:ind w:firstLine="1247"/>
        <w:jc w:val="both"/>
      </w:pPr>
      <w:r>
        <w:t>2024 m. gruodžio 31 d. Savivaldybės apskaičiuotos finansinės ir investicinės veiklos pajamos sudarė 1</w:t>
      </w:r>
      <w:r w:rsidR="00586D00">
        <w:t xml:space="preserve"> </w:t>
      </w:r>
      <w:r>
        <w:t>733,59 tūkst. Eur, sąnaudos – 84,69 tūkst. Eur, rezultatas (+) 1</w:t>
      </w:r>
      <w:r w:rsidR="00586D00">
        <w:t xml:space="preserve"> </w:t>
      </w:r>
      <w:r>
        <w:t xml:space="preserve">648,89 tūkst. Eur. </w:t>
      </w:r>
    </w:p>
    <w:p w14:paraId="072AF8A6" w14:textId="204B2346" w:rsidR="008A6560" w:rsidRDefault="005322E1" w:rsidP="00A215E7">
      <w:pPr>
        <w:tabs>
          <w:tab w:val="left" w:pos="720"/>
        </w:tabs>
        <w:ind w:firstLine="1247"/>
        <w:jc w:val="both"/>
      </w:pPr>
      <w:r>
        <w:t xml:space="preserve">Didžiausią pajamų dalį ataskaitinio laikotarpio pabaigoje sudarė kitos finansinės ir investicinės veiklos pajamos, tai akcijomis perduotas turtas UAB </w:t>
      </w:r>
      <w:r w:rsidR="00586D00">
        <w:t>„</w:t>
      </w:r>
      <w:r>
        <w:t>Skuodo vanden</w:t>
      </w:r>
      <w:r w:rsidR="00586D00">
        <w:t>ys“</w:t>
      </w:r>
      <w:r>
        <w:t>, kurių vertė 1</w:t>
      </w:r>
      <w:r w:rsidR="00586D00">
        <w:t xml:space="preserve"> </w:t>
      </w:r>
      <w:r>
        <w:t>658,28 tūkst. Eur, palūkanų pajamos – 48,02 tūkst. Eur ir baudų</w:t>
      </w:r>
      <w:r w:rsidR="00D57E3E">
        <w:t>,</w:t>
      </w:r>
      <w:r>
        <w:t xml:space="preserve"> ir delspinigių pajamos – 27,29 tūkst. Eur. Didžiausią sąnaudų dalį sudarė palūkanų sąnaudos už gautas paskolas (82,47 tūkst. Eur), mokamos LR </w:t>
      </w:r>
      <w:r w:rsidR="00D57E3E">
        <w:t>f</w:t>
      </w:r>
      <w:r>
        <w:t xml:space="preserve">inansų ministerijai ir komerciniams bankams. Kadangi Savivaldybės investicija į UAB </w:t>
      </w:r>
      <w:r w:rsidR="00D57E3E">
        <w:t>„</w:t>
      </w:r>
      <w:r>
        <w:t>Skuodo vanden</w:t>
      </w:r>
      <w:r w:rsidR="00D57E3E">
        <w:t>ys“</w:t>
      </w:r>
      <w:r>
        <w:t xml:space="preserve"> buvo didesnė už veiklos sąnaudas, tai bendras finansinės ir investicinės veiklos rezultatas 2024 m. gruodžio 31 d. yra (+) 1</w:t>
      </w:r>
      <w:r w:rsidR="00D57E3E">
        <w:t xml:space="preserve"> </w:t>
      </w:r>
      <w:r>
        <w:t xml:space="preserve">648, 89 tūkst. Eur. </w:t>
      </w:r>
    </w:p>
    <w:p w14:paraId="072AF8A7" w14:textId="7D950A5E" w:rsidR="008A6560" w:rsidRDefault="005322E1" w:rsidP="00A215E7">
      <w:pPr>
        <w:tabs>
          <w:tab w:val="left" w:pos="720"/>
        </w:tabs>
        <w:ind w:firstLine="1247"/>
        <w:jc w:val="both"/>
      </w:pPr>
      <w:r>
        <w:t xml:space="preserve">Detali informacija apie finansinės ir investicinės veiklos pajamas ir sąnaudas pateikta P23 priede. </w:t>
      </w:r>
    </w:p>
    <w:p w14:paraId="072AF8A8" w14:textId="77777777" w:rsidR="008A6560" w:rsidRDefault="008A6560" w:rsidP="00A215E7">
      <w:pPr>
        <w:tabs>
          <w:tab w:val="left" w:pos="720"/>
        </w:tabs>
        <w:ind w:firstLine="1247"/>
        <w:jc w:val="both"/>
      </w:pPr>
    </w:p>
    <w:p w14:paraId="072AF8A9" w14:textId="59BBC576" w:rsidR="008A6560" w:rsidRDefault="005322E1" w:rsidP="00A215E7">
      <w:pPr>
        <w:tabs>
          <w:tab w:val="left" w:pos="720"/>
        </w:tabs>
        <w:ind w:firstLine="1247"/>
        <w:jc w:val="both"/>
      </w:pPr>
      <w:r>
        <w:rPr>
          <w:b/>
        </w:rPr>
        <w:t>Finansinės rizikos valdymas (P24)</w:t>
      </w:r>
    </w:p>
    <w:p w14:paraId="072AF8AA" w14:textId="13932FE3" w:rsidR="008A6560" w:rsidRDefault="005322E1" w:rsidP="00A215E7">
      <w:pPr>
        <w:tabs>
          <w:tab w:val="left" w:pos="720"/>
        </w:tabs>
        <w:ind w:firstLine="1247"/>
        <w:jc w:val="both"/>
      </w:pPr>
      <w:r>
        <w:t xml:space="preserve">Informacija apie įsipareigojimų dalį eurais ataskaitinio laikotarpio pabaigoje pateikta aiškinamojo rašto P24 priede. </w:t>
      </w:r>
    </w:p>
    <w:p w14:paraId="072AF8AB" w14:textId="77777777" w:rsidR="008A6560" w:rsidRDefault="008A6560" w:rsidP="00A215E7">
      <w:pPr>
        <w:tabs>
          <w:tab w:val="left" w:pos="720"/>
        </w:tabs>
        <w:ind w:firstLine="1247"/>
        <w:jc w:val="both"/>
      </w:pPr>
    </w:p>
    <w:p w14:paraId="072AF8AC" w14:textId="10A0E026" w:rsidR="008A6560" w:rsidRDefault="005322E1" w:rsidP="00A215E7">
      <w:pPr>
        <w:tabs>
          <w:tab w:val="left" w:pos="720"/>
        </w:tabs>
        <w:ind w:firstLine="1247"/>
        <w:jc w:val="both"/>
        <w:rPr>
          <w:b/>
        </w:rPr>
      </w:pPr>
      <w:r>
        <w:rPr>
          <w:b/>
        </w:rPr>
        <w:t>Informacija apie kontroliuojamus ne viešojo sektoriaus subjektus (P27)</w:t>
      </w:r>
    </w:p>
    <w:p w14:paraId="072AF8AD" w14:textId="06C3CCA1" w:rsidR="008A6560" w:rsidRDefault="005322E1" w:rsidP="00A215E7">
      <w:pPr>
        <w:tabs>
          <w:tab w:val="left" w:pos="720"/>
        </w:tabs>
        <w:ind w:firstLine="1247"/>
        <w:jc w:val="both"/>
      </w:pPr>
      <w:r>
        <w:t>Informacija apie kontroliuojamus ne viešojo sektoriaus subjektus pateikta aiškinamojo rašto priede „Kontroliuojamų akcinių ir uždarųjų akcinių bendrovių jungtinė finansinės būklė ataskaita (balansas)</w:t>
      </w:r>
      <w:r w:rsidR="00D57E3E">
        <w:t>“</w:t>
      </w:r>
      <w:r>
        <w:t xml:space="preserve"> ir žemiau esančioje 3 lentelėje. </w:t>
      </w:r>
    </w:p>
    <w:p w14:paraId="072AF8AE" w14:textId="77777777" w:rsidR="008A6560" w:rsidRPr="00C33964" w:rsidRDefault="005322E1">
      <w:pPr>
        <w:jc w:val="right"/>
        <w:rPr>
          <w:i/>
          <w:sz w:val="22"/>
          <w:szCs w:val="22"/>
        </w:rPr>
      </w:pPr>
      <w:r>
        <w:rPr>
          <w:b/>
          <w:bCs/>
          <w:i/>
          <w:sz w:val="22"/>
          <w:szCs w:val="22"/>
        </w:rPr>
        <w:t xml:space="preserve">                                               </w:t>
      </w:r>
      <w:r w:rsidRPr="00C33964">
        <w:rPr>
          <w:i/>
          <w:sz w:val="22"/>
          <w:szCs w:val="22"/>
        </w:rPr>
        <w:t>3 lentelė. Kontroliuojamų ne viešojo sektoriaus subjektų sąrašas</w:t>
      </w:r>
    </w:p>
    <w:tbl>
      <w:tblPr>
        <w:tblW w:w="9497" w:type="dxa"/>
        <w:tblInd w:w="127" w:type="dxa"/>
        <w:tblLayout w:type="fixed"/>
        <w:tblLook w:val="04A0" w:firstRow="1" w:lastRow="0" w:firstColumn="1" w:lastColumn="0" w:noHBand="0" w:noVBand="1"/>
      </w:tblPr>
      <w:tblGrid>
        <w:gridCol w:w="1134"/>
        <w:gridCol w:w="8363"/>
      </w:tblGrid>
      <w:tr w:rsidR="008A6560" w14:paraId="072AF8B1" w14:textId="77777777">
        <w:trPr>
          <w:trHeight w:val="255"/>
        </w:trPr>
        <w:tc>
          <w:tcPr>
            <w:tcW w:w="1134" w:type="dxa"/>
            <w:tcBorders>
              <w:top w:val="single" w:sz="12" w:space="0" w:color="BFBFBF"/>
              <w:left w:val="single" w:sz="12" w:space="0" w:color="BFBFBF"/>
              <w:bottom w:val="single" w:sz="12" w:space="0" w:color="BFBFBF"/>
              <w:right w:val="single" w:sz="12" w:space="0" w:color="BFBFBF"/>
            </w:tcBorders>
          </w:tcPr>
          <w:p w14:paraId="072AF8AF" w14:textId="77777777" w:rsidR="008A6560" w:rsidRDefault="005322E1">
            <w:pPr>
              <w:jc w:val="center"/>
              <w:rPr>
                <w:b/>
              </w:rPr>
            </w:pPr>
            <w:r>
              <w:rPr>
                <w:b/>
              </w:rPr>
              <w:t>Eil. Nr.</w:t>
            </w:r>
          </w:p>
        </w:tc>
        <w:tc>
          <w:tcPr>
            <w:tcW w:w="8363" w:type="dxa"/>
            <w:tcBorders>
              <w:top w:val="single" w:sz="12" w:space="0" w:color="BFBFBF"/>
              <w:left w:val="single" w:sz="12" w:space="0" w:color="BFBFBF"/>
              <w:bottom w:val="single" w:sz="12" w:space="0" w:color="BFBFBF"/>
              <w:right w:val="single" w:sz="12" w:space="0" w:color="BFBFBF"/>
            </w:tcBorders>
          </w:tcPr>
          <w:p w14:paraId="072AF8B0" w14:textId="77777777" w:rsidR="008A6560" w:rsidRDefault="005322E1">
            <w:pPr>
              <w:jc w:val="center"/>
              <w:rPr>
                <w:b/>
              </w:rPr>
            </w:pPr>
            <w:r>
              <w:rPr>
                <w:b/>
              </w:rPr>
              <w:t xml:space="preserve">Subjekto tipas ir pavadinimas </w:t>
            </w:r>
          </w:p>
        </w:tc>
      </w:tr>
      <w:tr w:rsidR="008A6560" w14:paraId="072AF8B4" w14:textId="77777777">
        <w:trPr>
          <w:trHeight w:val="255"/>
        </w:trPr>
        <w:tc>
          <w:tcPr>
            <w:tcW w:w="1134" w:type="dxa"/>
            <w:tcBorders>
              <w:top w:val="single" w:sz="12" w:space="0" w:color="BFBFBF"/>
              <w:left w:val="single" w:sz="12" w:space="0" w:color="BFBFBF"/>
              <w:bottom w:val="single" w:sz="12" w:space="0" w:color="BFBFBF"/>
              <w:right w:val="single" w:sz="12" w:space="0" w:color="BFBFBF"/>
            </w:tcBorders>
          </w:tcPr>
          <w:p w14:paraId="072AF8B2" w14:textId="77777777" w:rsidR="008A6560" w:rsidRDefault="008A6560">
            <w:pPr>
              <w:snapToGrid w:val="0"/>
              <w:jc w:val="center"/>
              <w:rPr>
                <w:b/>
              </w:rPr>
            </w:pPr>
          </w:p>
        </w:tc>
        <w:tc>
          <w:tcPr>
            <w:tcW w:w="8363" w:type="dxa"/>
            <w:tcBorders>
              <w:top w:val="single" w:sz="12" w:space="0" w:color="BFBFBF"/>
              <w:left w:val="single" w:sz="12" w:space="0" w:color="BFBFBF"/>
              <w:bottom w:val="single" w:sz="12" w:space="0" w:color="BFBFBF"/>
              <w:right w:val="single" w:sz="12" w:space="0" w:color="BFBFBF"/>
            </w:tcBorders>
          </w:tcPr>
          <w:p w14:paraId="072AF8B3" w14:textId="77777777" w:rsidR="008A6560" w:rsidRDefault="005322E1">
            <w:pPr>
              <w:rPr>
                <w:b/>
              </w:rPr>
            </w:pPr>
            <w:r>
              <w:rPr>
                <w:b/>
              </w:rPr>
              <w:t xml:space="preserve">Kontroliuojamos uždarosios akcinės bendrovės </w:t>
            </w:r>
          </w:p>
        </w:tc>
      </w:tr>
      <w:tr w:rsidR="008A6560" w14:paraId="072AF8B7" w14:textId="77777777">
        <w:trPr>
          <w:trHeight w:val="255"/>
        </w:trPr>
        <w:tc>
          <w:tcPr>
            <w:tcW w:w="1134" w:type="dxa"/>
            <w:tcBorders>
              <w:top w:val="single" w:sz="12" w:space="0" w:color="BFBFBF"/>
              <w:left w:val="single" w:sz="12" w:space="0" w:color="BFBFBF"/>
              <w:bottom w:val="single" w:sz="2" w:space="0" w:color="BFBFBF"/>
              <w:right w:val="single" w:sz="12" w:space="0" w:color="BFBFBF"/>
            </w:tcBorders>
          </w:tcPr>
          <w:p w14:paraId="072AF8B5" w14:textId="77777777" w:rsidR="008A6560" w:rsidRDefault="005322E1">
            <w:pPr>
              <w:jc w:val="center"/>
            </w:pPr>
            <w:r>
              <w:t>1.</w:t>
            </w:r>
          </w:p>
        </w:tc>
        <w:tc>
          <w:tcPr>
            <w:tcW w:w="8363" w:type="dxa"/>
            <w:tcBorders>
              <w:top w:val="single" w:sz="12" w:space="0" w:color="BFBFBF"/>
              <w:left w:val="single" w:sz="12" w:space="0" w:color="BFBFBF"/>
              <w:bottom w:val="single" w:sz="2" w:space="0" w:color="BFBFBF"/>
              <w:right w:val="single" w:sz="12" w:space="0" w:color="BFBFBF"/>
            </w:tcBorders>
          </w:tcPr>
          <w:p w14:paraId="072AF8B6" w14:textId="541760CE" w:rsidR="008A6560" w:rsidRDefault="005322E1">
            <w:r>
              <w:t xml:space="preserve">UAB </w:t>
            </w:r>
            <w:r w:rsidR="00D57E3E">
              <w:t>„</w:t>
            </w:r>
            <w:r>
              <w:t>Skuodo vandenys</w:t>
            </w:r>
            <w:r w:rsidR="00D57E3E">
              <w:t>“</w:t>
            </w:r>
          </w:p>
        </w:tc>
      </w:tr>
      <w:tr w:rsidR="008A6560" w14:paraId="072AF8BA" w14:textId="77777777">
        <w:trPr>
          <w:trHeight w:val="263"/>
        </w:trPr>
        <w:tc>
          <w:tcPr>
            <w:tcW w:w="1134" w:type="dxa"/>
            <w:tcBorders>
              <w:top w:val="single" w:sz="2" w:space="0" w:color="BFBFBF"/>
              <w:left w:val="single" w:sz="12" w:space="0" w:color="BFBFBF"/>
              <w:bottom w:val="single" w:sz="2" w:space="0" w:color="BFBFBF"/>
              <w:right w:val="single" w:sz="12" w:space="0" w:color="BFBFBF"/>
            </w:tcBorders>
          </w:tcPr>
          <w:p w14:paraId="072AF8B8" w14:textId="77777777" w:rsidR="008A6560" w:rsidRDefault="005322E1">
            <w:pPr>
              <w:jc w:val="center"/>
            </w:pPr>
            <w:r>
              <w:t>2.</w:t>
            </w:r>
          </w:p>
        </w:tc>
        <w:tc>
          <w:tcPr>
            <w:tcW w:w="8363" w:type="dxa"/>
            <w:tcBorders>
              <w:top w:val="single" w:sz="2" w:space="0" w:color="BFBFBF"/>
              <w:left w:val="single" w:sz="12" w:space="0" w:color="BFBFBF"/>
              <w:bottom w:val="single" w:sz="2" w:space="0" w:color="BFBFBF"/>
              <w:right w:val="single" w:sz="12" w:space="0" w:color="BFBFBF"/>
            </w:tcBorders>
          </w:tcPr>
          <w:p w14:paraId="072AF8B9" w14:textId="57056A93" w:rsidR="008A6560" w:rsidRDefault="005322E1">
            <w:r>
              <w:t xml:space="preserve">UAB </w:t>
            </w:r>
            <w:r w:rsidR="00D57E3E">
              <w:t>„</w:t>
            </w:r>
            <w:r>
              <w:t>Skuodo šiluma</w:t>
            </w:r>
            <w:r w:rsidR="00D57E3E">
              <w:t>“</w:t>
            </w:r>
            <w:r>
              <w:t xml:space="preserve"> </w:t>
            </w:r>
          </w:p>
        </w:tc>
      </w:tr>
      <w:tr w:rsidR="008A6560" w14:paraId="072AF8BD" w14:textId="77777777">
        <w:trPr>
          <w:trHeight w:val="330"/>
        </w:trPr>
        <w:tc>
          <w:tcPr>
            <w:tcW w:w="1134" w:type="dxa"/>
            <w:tcBorders>
              <w:top w:val="single" w:sz="2" w:space="0" w:color="BFBFBF"/>
              <w:left w:val="single" w:sz="12" w:space="0" w:color="BFBFBF"/>
              <w:bottom w:val="single" w:sz="2" w:space="0" w:color="BFBFBF"/>
              <w:right w:val="single" w:sz="12" w:space="0" w:color="BFBFBF"/>
            </w:tcBorders>
          </w:tcPr>
          <w:p w14:paraId="072AF8BB" w14:textId="77777777" w:rsidR="008A6560" w:rsidRDefault="005322E1">
            <w:pPr>
              <w:jc w:val="center"/>
            </w:pPr>
            <w:r>
              <w:t>3.</w:t>
            </w:r>
          </w:p>
        </w:tc>
        <w:tc>
          <w:tcPr>
            <w:tcW w:w="8363" w:type="dxa"/>
            <w:tcBorders>
              <w:top w:val="single" w:sz="2" w:space="0" w:color="BFBFBF"/>
              <w:left w:val="single" w:sz="12" w:space="0" w:color="BFBFBF"/>
              <w:bottom w:val="single" w:sz="2" w:space="0" w:color="BFBFBF"/>
              <w:right w:val="single" w:sz="12" w:space="0" w:color="BFBFBF"/>
            </w:tcBorders>
          </w:tcPr>
          <w:p w14:paraId="072AF8BC" w14:textId="56ED12AC" w:rsidR="008A6560" w:rsidRDefault="005322E1">
            <w:r>
              <w:t xml:space="preserve">UAB </w:t>
            </w:r>
            <w:r w:rsidR="00D57E3E">
              <w:t>„</w:t>
            </w:r>
            <w:r>
              <w:t>Skuodo autobusai</w:t>
            </w:r>
            <w:r w:rsidR="00D57E3E">
              <w:t>“</w:t>
            </w:r>
            <w:r>
              <w:t xml:space="preserve"> </w:t>
            </w:r>
          </w:p>
        </w:tc>
      </w:tr>
      <w:tr w:rsidR="008A6560" w14:paraId="072AF8C0" w14:textId="77777777">
        <w:trPr>
          <w:trHeight w:val="270"/>
        </w:trPr>
        <w:tc>
          <w:tcPr>
            <w:tcW w:w="1134" w:type="dxa"/>
            <w:tcBorders>
              <w:top w:val="single" w:sz="2" w:space="0" w:color="BFBFBF"/>
              <w:left w:val="single" w:sz="12" w:space="0" w:color="BFBFBF"/>
              <w:bottom w:val="single" w:sz="2" w:space="0" w:color="BFBFBF"/>
              <w:right w:val="single" w:sz="12" w:space="0" w:color="BFBFBF"/>
            </w:tcBorders>
          </w:tcPr>
          <w:p w14:paraId="072AF8BE" w14:textId="77777777" w:rsidR="008A6560" w:rsidRDefault="008A6560">
            <w:pPr>
              <w:snapToGrid w:val="0"/>
              <w:jc w:val="center"/>
            </w:pPr>
          </w:p>
        </w:tc>
        <w:tc>
          <w:tcPr>
            <w:tcW w:w="8363" w:type="dxa"/>
            <w:tcBorders>
              <w:top w:val="single" w:sz="2" w:space="0" w:color="BFBFBF"/>
              <w:left w:val="single" w:sz="12" w:space="0" w:color="BFBFBF"/>
              <w:bottom w:val="single" w:sz="2" w:space="0" w:color="BFBFBF"/>
              <w:right w:val="single" w:sz="12" w:space="0" w:color="BFBFBF"/>
            </w:tcBorders>
          </w:tcPr>
          <w:p w14:paraId="072AF8BF" w14:textId="77777777" w:rsidR="008A6560" w:rsidRDefault="005322E1">
            <w:pPr>
              <w:rPr>
                <w:b/>
              </w:rPr>
            </w:pPr>
            <w:r>
              <w:rPr>
                <w:b/>
              </w:rPr>
              <w:t xml:space="preserve">Asocijuotieji subjektai </w:t>
            </w:r>
          </w:p>
        </w:tc>
      </w:tr>
      <w:tr w:rsidR="008A6560" w14:paraId="072AF8C3" w14:textId="77777777">
        <w:trPr>
          <w:trHeight w:val="270"/>
        </w:trPr>
        <w:tc>
          <w:tcPr>
            <w:tcW w:w="1134" w:type="dxa"/>
            <w:tcBorders>
              <w:top w:val="single" w:sz="2" w:space="0" w:color="BFBFBF"/>
              <w:left w:val="single" w:sz="12" w:space="0" w:color="BFBFBF"/>
              <w:bottom w:val="single" w:sz="2" w:space="0" w:color="BFBFBF"/>
              <w:right w:val="single" w:sz="12" w:space="0" w:color="BFBFBF"/>
            </w:tcBorders>
          </w:tcPr>
          <w:p w14:paraId="072AF8C1" w14:textId="77777777" w:rsidR="008A6560" w:rsidRDefault="005322E1">
            <w:pPr>
              <w:jc w:val="center"/>
            </w:pPr>
            <w:r>
              <w:t>1.</w:t>
            </w:r>
          </w:p>
        </w:tc>
        <w:tc>
          <w:tcPr>
            <w:tcW w:w="8363" w:type="dxa"/>
            <w:tcBorders>
              <w:top w:val="single" w:sz="2" w:space="0" w:color="BFBFBF"/>
              <w:left w:val="single" w:sz="12" w:space="0" w:color="BFBFBF"/>
              <w:bottom w:val="single" w:sz="2" w:space="0" w:color="BFBFBF"/>
              <w:right w:val="single" w:sz="12" w:space="0" w:color="BFBFBF"/>
            </w:tcBorders>
          </w:tcPr>
          <w:p w14:paraId="072AF8C2" w14:textId="77777777" w:rsidR="008A6560" w:rsidRDefault="005322E1">
            <w:r>
              <w:t>UAB Klaipėdos regiono atlietų tvarkymo centras</w:t>
            </w:r>
          </w:p>
        </w:tc>
      </w:tr>
      <w:tr w:rsidR="008A6560" w14:paraId="072AF8C6" w14:textId="77777777">
        <w:trPr>
          <w:trHeight w:val="270"/>
        </w:trPr>
        <w:tc>
          <w:tcPr>
            <w:tcW w:w="1134" w:type="dxa"/>
            <w:tcBorders>
              <w:top w:val="single" w:sz="2" w:space="0" w:color="BFBFBF"/>
              <w:left w:val="single" w:sz="12" w:space="0" w:color="BFBFBF"/>
              <w:bottom w:val="single" w:sz="2" w:space="0" w:color="BFBFBF"/>
              <w:right w:val="single" w:sz="12" w:space="0" w:color="BFBFBF"/>
            </w:tcBorders>
          </w:tcPr>
          <w:p w14:paraId="072AF8C4" w14:textId="77777777" w:rsidR="008A6560" w:rsidRDefault="005322E1">
            <w:pPr>
              <w:jc w:val="center"/>
            </w:pPr>
            <w:r>
              <w:t>2.</w:t>
            </w:r>
          </w:p>
        </w:tc>
        <w:tc>
          <w:tcPr>
            <w:tcW w:w="8363" w:type="dxa"/>
            <w:tcBorders>
              <w:top w:val="single" w:sz="2" w:space="0" w:color="BFBFBF"/>
              <w:left w:val="single" w:sz="12" w:space="0" w:color="BFBFBF"/>
              <w:bottom w:val="single" w:sz="2" w:space="0" w:color="BFBFBF"/>
              <w:right w:val="single" w:sz="12" w:space="0" w:color="BFBFBF"/>
            </w:tcBorders>
          </w:tcPr>
          <w:p w14:paraId="072AF8C5" w14:textId="1B71DB64" w:rsidR="008A6560" w:rsidRDefault="005322E1">
            <w:r>
              <w:t>VšĮ Skuodo stomatolog</w:t>
            </w:r>
            <w:r w:rsidR="00D57E3E">
              <w:t>ijos</w:t>
            </w:r>
            <w:r>
              <w:t xml:space="preserve"> paslaugos</w:t>
            </w:r>
          </w:p>
        </w:tc>
      </w:tr>
    </w:tbl>
    <w:p w14:paraId="072AF8C7" w14:textId="77777777" w:rsidR="008A6560" w:rsidRDefault="008A6560">
      <w:pPr>
        <w:pStyle w:val="Pagrindinistekstas1"/>
        <w:tabs>
          <w:tab w:val="left" w:pos="851"/>
        </w:tabs>
        <w:spacing w:line="276" w:lineRule="auto"/>
        <w:ind w:firstLine="0"/>
        <w:rPr>
          <w:sz w:val="24"/>
          <w:szCs w:val="24"/>
        </w:rPr>
      </w:pPr>
    </w:p>
    <w:p w14:paraId="072AF8C8" w14:textId="208DE028" w:rsidR="008A6560" w:rsidRDefault="005322E1" w:rsidP="00A215E7">
      <w:pPr>
        <w:pStyle w:val="Pagrindinistekstas1"/>
        <w:tabs>
          <w:tab w:val="left" w:pos="851"/>
        </w:tabs>
        <w:spacing w:line="240" w:lineRule="auto"/>
        <w:ind w:firstLine="1247"/>
      </w:pPr>
      <w:r>
        <w:rPr>
          <w:sz w:val="24"/>
          <w:szCs w:val="24"/>
        </w:rPr>
        <w:t xml:space="preserve">Vadovaujantis Lietuvos Respublikos finansų ministro 2011 m. balandžio 19 d. įsakymu Nr. 1K-152 (2024 m. kovo 14 d. nauja suvestinė redakcija) patvirtintos </w:t>
      </w:r>
      <w:r w:rsidR="00D57E3E">
        <w:rPr>
          <w:sz w:val="24"/>
          <w:szCs w:val="24"/>
        </w:rPr>
        <w:t>V</w:t>
      </w:r>
      <w:r>
        <w:rPr>
          <w:sz w:val="24"/>
          <w:szCs w:val="24"/>
        </w:rPr>
        <w:t>iešojo sektoriaus subjektų finansinių ataskaitų rinkinių konsolidavimo metodikos 50 punktu, prie šio aiškinamojo rašto pridedamos Konsolidavimo kontrolės bendroji ataskaita (detali) metinė (KBA-B-KK-M) ir Bendroji konsoliduotųjų finansinių ataskaitų korektiškumo tikrinimo ataskaita (K-KKK-A-KK). Vadovaujantis metodikos 67 punktu</w:t>
      </w:r>
      <w:r w:rsidR="00D57E3E">
        <w:rPr>
          <w:sz w:val="24"/>
          <w:szCs w:val="24"/>
        </w:rPr>
        <w:t>,</w:t>
      </w:r>
      <w:r>
        <w:rPr>
          <w:sz w:val="24"/>
          <w:szCs w:val="24"/>
        </w:rPr>
        <w:t xml:space="preserve"> pridedamas patvirtintas konsolidavimo įrašų registras. </w:t>
      </w:r>
    </w:p>
    <w:p w14:paraId="072AF8C9" w14:textId="77777777" w:rsidR="008A6560" w:rsidRDefault="008A6560">
      <w:pPr>
        <w:tabs>
          <w:tab w:val="left" w:pos="720"/>
        </w:tabs>
        <w:spacing w:line="276" w:lineRule="auto"/>
        <w:jc w:val="both"/>
      </w:pPr>
    </w:p>
    <w:p w14:paraId="072AF8CA" w14:textId="77777777" w:rsidR="008A6560" w:rsidRDefault="008A6560">
      <w:pPr>
        <w:tabs>
          <w:tab w:val="left" w:pos="720"/>
        </w:tabs>
        <w:spacing w:line="276" w:lineRule="auto"/>
        <w:jc w:val="both"/>
      </w:pPr>
    </w:p>
    <w:p w14:paraId="072AF8CB" w14:textId="77777777" w:rsidR="008A6560" w:rsidRDefault="008A6560">
      <w:pPr>
        <w:tabs>
          <w:tab w:val="left" w:pos="720"/>
        </w:tabs>
        <w:spacing w:line="276" w:lineRule="auto"/>
        <w:jc w:val="both"/>
      </w:pPr>
    </w:p>
    <w:p w14:paraId="072AF8CC" w14:textId="77777777" w:rsidR="008A6560" w:rsidRDefault="008A6560">
      <w:pPr>
        <w:tabs>
          <w:tab w:val="left" w:pos="720"/>
        </w:tabs>
        <w:spacing w:line="276" w:lineRule="auto"/>
        <w:jc w:val="both"/>
      </w:pPr>
    </w:p>
    <w:p w14:paraId="072AF8CD" w14:textId="77777777" w:rsidR="008A6560" w:rsidRDefault="008A6560">
      <w:pPr>
        <w:tabs>
          <w:tab w:val="left" w:pos="720"/>
        </w:tabs>
        <w:spacing w:line="276" w:lineRule="auto"/>
        <w:jc w:val="both"/>
      </w:pPr>
    </w:p>
    <w:tbl>
      <w:tblPr>
        <w:tblW w:w="9639" w:type="dxa"/>
        <w:tblLayout w:type="fixed"/>
        <w:tblLook w:val="04A0" w:firstRow="1" w:lastRow="0" w:firstColumn="1" w:lastColumn="0" w:noHBand="0" w:noVBand="1"/>
      </w:tblPr>
      <w:tblGrid>
        <w:gridCol w:w="4565"/>
        <w:gridCol w:w="5074"/>
      </w:tblGrid>
      <w:tr w:rsidR="008A6560" w14:paraId="072AF8D1" w14:textId="77777777">
        <w:trPr>
          <w:trHeight w:val="190"/>
        </w:trPr>
        <w:tc>
          <w:tcPr>
            <w:tcW w:w="4565" w:type="dxa"/>
          </w:tcPr>
          <w:p w14:paraId="072AF8CE" w14:textId="77777777" w:rsidR="008A6560" w:rsidRDefault="005322E1">
            <w:pPr>
              <w:jc w:val="both"/>
            </w:pPr>
            <w:r>
              <w:t xml:space="preserve">Savivaldybės meras </w:t>
            </w:r>
          </w:p>
        </w:tc>
        <w:tc>
          <w:tcPr>
            <w:tcW w:w="5074" w:type="dxa"/>
          </w:tcPr>
          <w:p w14:paraId="072AF8CF" w14:textId="77777777" w:rsidR="008A6560" w:rsidRDefault="005322E1">
            <w:pPr>
              <w:jc w:val="center"/>
            </w:pPr>
            <w:r>
              <w:t xml:space="preserve">                                              Stasys Gutautas </w:t>
            </w:r>
          </w:p>
          <w:p w14:paraId="072AF8D0" w14:textId="77777777" w:rsidR="008A6560" w:rsidRDefault="008A6560">
            <w:pPr>
              <w:jc w:val="right"/>
            </w:pPr>
          </w:p>
        </w:tc>
      </w:tr>
    </w:tbl>
    <w:p w14:paraId="072AF8D2" w14:textId="77777777" w:rsidR="008A6560" w:rsidRDefault="008A6560">
      <w:pPr>
        <w:tabs>
          <w:tab w:val="left" w:pos="720"/>
        </w:tabs>
        <w:spacing w:line="276" w:lineRule="auto"/>
        <w:jc w:val="both"/>
      </w:pPr>
    </w:p>
    <w:p w14:paraId="072AF8D3" w14:textId="77777777" w:rsidR="008A6560" w:rsidRDefault="008A6560">
      <w:pPr>
        <w:tabs>
          <w:tab w:val="left" w:pos="720"/>
        </w:tabs>
        <w:spacing w:line="276" w:lineRule="auto"/>
        <w:jc w:val="both"/>
      </w:pPr>
    </w:p>
    <w:p w14:paraId="072AF8D4" w14:textId="77777777" w:rsidR="008A6560" w:rsidRDefault="008A6560">
      <w:pPr>
        <w:tabs>
          <w:tab w:val="left" w:pos="720"/>
        </w:tabs>
        <w:spacing w:line="276" w:lineRule="auto"/>
        <w:jc w:val="both"/>
      </w:pPr>
    </w:p>
    <w:p w14:paraId="072AF8D5" w14:textId="77777777" w:rsidR="008A6560" w:rsidRDefault="005322E1">
      <w:pPr>
        <w:tabs>
          <w:tab w:val="left" w:pos="720"/>
        </w:tabs>
        <w:spacing w:line="276" w:lineRule="auto"/>
        <w:jc w:val="both"/>
      </w:pPr>
      <w:r>
        <w:t xml:space="preserve">Biudžeto valdymo skyriaus vyriausioji specialistė </w:t>
      </w:r>
      <w:r>
        <w:tab/>
      </w:r>
      <w:r>
        <w:tab/>
      </w:r>
      <w:r>
        <w:tab/>
        <w:t xml:space="preserve">Edita Gadeikienė </w:t>
      </w:r>
    </w:p>
    <w:p w14:paraId="072AF8D6" w14:textId="77777777" w:rsidR="008A6560" w:rsidRDefault="008A6560">
      <w:pPr>
        <w:tabs>
          <w:tab w:val="left" w:pos="720"/>
        </w:tabs>
        <w:spacing w:line="276" w:lineRule="auto"/>
        <w:jc w:val="both"/>
      </w:pPr>
    </w:p>
    <w:p w14:paraId="072AF8D7" w14:textId="77777777" w:rsidR="008A6560" w:rsidRDefault="008A6560">
      <w:pPr>
        <w:tabs>
          <w:tab w:val="left" w:pos="720"/>
        </w:tabs>
        <w:spacing w:line="276" w:lineRule="auto"/>
        <w:jc w:val="both"/>
      </w:pPr>
    </w:p>
    <w:p w14:paraId="072AF8D8" w14:textId="77777777" w:rsidR="008A6560" w:rsidRDefault="008A6560">
      <w:pPr>
        <w:tabs>
          <w:tab w:val="left" w:pos="720"/>
        </w:tabs>
        <w:spacing w:line="276" w:lineRule="auto"/>
        <w:jc w:val="both"/>
      </w:pPr>
    </w:p>
    <w:p w14:paraId="072AF8D9" w14:textId="77777777" w:rsidR="008A6560" w:rsidRDefault="008A6560">
      <w:pPr>
        <w:tabs>
          <w:tab w:val="left" w:pos="720"/>
        </w:tabs>
        <w:spacing w:line="276" w:lineRule="auto"/>
        <w:jc w:val="both"/>
      </w:pPr>
    </w:p>
    <w:p w14:paraId="32EC981A" w14:textId="77777777" w:rsidR="00CD51BE" w:rsidRDefault="00CD51BE">
      <w:pPr>
        <w:tabs>
          <w:tab w:val="left" w:pos="720"/>
        </w:tabs>
        <w:spacing w:line="276" w:lineRule="auto"/>
        <w:jc w:val="both"/>
      </w:pPr>
    </w:p>
    <w:p w14:paraId="50CE85C2" w14:textId="0E35C997" w:rsidR="00CD51BE" w:rsidRDefault="007D280E" w:rsidP="00CD51BE">
      <w:pPr>
        <w:jc w:val="center"/>
      </w:pPr>
      <w:r>
        <w:rPr>
          <w:noProof/>
          <w:lang w:eastAsia="lt-LT"/>
        </w:rPr>
        <w:drawing>
          <wp:anchor distT="0" distB="0" distL="0" distR="0" simplePos="0" relativeHeight="251659264" behindDoc="0" locked="0" layoutInCell="1" allowOverlap="1" wp14:anchorId="2E29C832" wp14:editId="691EF0AD">
            <wp:simplePos x="0" y="0"/>
            <wp:positionH relativeFrom="margin">
              <wp:posOffset>2781300</wp:posOffset>
            </wp:positionH>
            <wp:positionV relativeFrom="paragraph">
              <wp:posOffset>0</wp:posOffset>
            </wp:positionV>
            <wp:extent cx="544830" cy="657225"/>
            <wp:effectExtent l="0" t="0" r="7620" b="9525"/>
            <wp:wrapSquare wrapText="largest"/>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830" cy="657225"/>
                    </a:xfrm>
                    <a:prstGeom prst="rect">
                      <a:avLst/>
                    </a:prstGeom>
                    <a:noFill/>
                  </pic:spPr>
                </pic:pic>
              </a:graphicData>
            </a:graphic>
            <wp14:sizeRelH relativeFrom="page">
              <wp14:pctWidth>0</wp14:pctWidth>
            </wp14:sizeRelH>
            <wp14:sizeRelV relativeFrom="page">
              <wp14:pctHeight>0</wp14:pctHeight>
            </wp14:sizeRelV>
          </wp:anchor>
        </w:drawing>
      </w:r>
    </w:p>
    <w:p w14:paraId="1DEE39A6" w14:textId="77777777" w:rsidR="00CD51BE" w:rsidRDefault="00CD51BE" w:rsidP="00CD51BE">
      <w:pPr>
        <w:jc w:val="center"/>
      </w:pPr>
    </w:p>
    <w:p w14:paraId="164E8A1E" w14:textId="77777777" w:rsidR="007D280E" w:rsidRDefault="007D280E" w:rsidP="00CD51BE">
      <w:pPr>
        <w:pStyle w:val="Antrat"/>
        <w:jc w:val="center"/>
        <w:rPr>
          <w:b/>
          <w:bCs/>
          <w:i w:val="0"/>
          <w:iCs w:val="0"/>
          <w:sz w:val="28"/>
          <w:szCs w:val="28"/>
        </w:rPr>
      </w:pPr>
    </w:p>
    <w:p w14:paraId="5342A422" w14:textId="4083524A" w:rsidR="00CD51BE" w:rsidRPr="00CD51BE" w:rsidRDefault="00CD51BE" w:rsidP="00A215E7">
      <w:pPr>
        <w:pStyle w:val="Antrat"/>
        <w:spacing w:before="0" w:after="0"/>
        <w:jc w:val="center"/>
        <w:rPr>
          <w:b/>
          <w:bCs/>
          <w:i w:val="0"/>
          <w:iCs w:val="0"/>
          <w:sz w:val="28"/>
          <w:szCs w:val="28"/>
        </w:rPr>
      </w:pPr>
      <w:r w:rsidRPr="00CD51BE">
        <w:rPr>
          <w:b/>
          <w:bCs/>
          <w:i w:val="0"/>
          <w:iCs w:val="0"/>
          <w:sz w:val="28"/>
          <w:szCs w:val="28"/>
        </w:rPr>
        <w:t>SKUODO RAJONO SAVIVALDYBĖS ADMINISTRACIJ</w:t>
      </w:r>
      <w:r w:rsidR="007D280E">
        <w:rPr>
          <w:b/>
          <w:bCs/>
          <w:i w:val="0"/>
          <w:iCs w:val="0"/>
          <w:sz w:val="28"/>
          <w:szCs w:val="28"/>
        </w:rPr>
        <w:t>OS</w:t>
      </w:r>
    </w:p>
    <w:p w14:paraId="721C39D4" w14:textId="18B5D686" w:rsidR="00CD51BE" w:rsidRPr="00CD51BE" w:rsidRDefault="00CD51BE" w:rsidP="007D280E">
      <w:pPr>
        <w:jc w:val="center"/>
        <w:rPr>
          <w:b/>
          <w:bCs/>
          <w:sz w:val="28"/>
          <w:szCs w:val="28"/>
        </w:rPr>
      </w:pPr>
      <w:r w:rsidRPr="00CD51BE">
        <w:rPr>
          <w:b/>
          <w:bCs/>
          <w:sz w:val="28"/>
          <w:szCs w:val="28"/>
        </w:rPr>
        <w:t>BIUDŽETO VALDYMO SKYRIUS</w:t>
      </w:r>
    </w:p>
    <w:tbl>
      <w:tblPr>
        <w:tblW w:w="991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1"/>
      </w:tblGrid>
      <w:tr w:rsidR="00CD51BE" w14:paraId="6A704672" w14:textId="77777777" w:rsidTr="007E23A1">
        <w:trPr>
          <w:cantSplit/>
        </w:trPr>
        <w:tc>
          <w:tcPr>
            <w:tcW w:w="9911" w:type="dxa"/>
            <w:tcBorders>
              <w:top w:val="nil"/>
              <w:left w:val="nil"/>
              <w:bottom w:val="single" w:sz="4" w:space="0" w:color="auto"/>
              <w:right w:val="nil"/>
            </w:tcBorders>
          </w:tcPr>
          <w:p w14:paraId="2721D9A3" w14:textId="43C9837E" w:rsidR="007D280E" w:rsidRDefault="00CD51BE" w:rsidP="00A215E7">
            <w:pPr>
              <w:ind w:firstLine="79"/>
              <w:jc w:val="center"/>
              <w:rPr>
                <w:color w:val="000000"/>
                <w:sz w:val="18"/>
              </w:rPr>
            </w:pPr>
            <w:r>
              <w:rPr>
                <w:color w:val="000000"/>
                <w:sz w:val="18"/>
              </w:rPr>
              <w:t>Biudžetinė įstaiga. Vilniaus g. 13, 98112 Skuodas, tel. (</w:t>
            </w:r>
            <w:r w:rsidR="007D280E">
              <w:rPr>
                <w:color w:val="000000"/>
                <w:sz w:val="18"/>
              </w:rPr>
              <w:t>0</w:t>
            </w:r>
            <w:r>
              <w:rPr>
                <w:color w:val="000000"/>
                <w:sz w:val="18"/>
              </w:rPr>
              <w:t xml:space="preserve"> 440) 73</w:t>
            </w:r>
            <w:r w:rsidR="007D280E">
              <w:rPr>
                <w:color w:val="000000"/>
                <w:sz w:val="18"/>
              </w:rPr>
              <w:t> </w:t>
            </w:r>
            <w:r>
              <w:rPr>
                <w:color w:val="000000"/>
                <w:sz w:val="18"/>
              </w:rPr>
              <w:t>932</w:t>
            </w:r>
            <w:r w:rsidR="007D280E">
              <w:rPr>
                <w:color w:val="000000"/>
                <w:sz w:val="18"/>
              </w:rPr>
              <w:t>.</w:t>
            </w:r>
            <w:r>
              <w:rPr>
                <w:color w:val="000000"/>
                <w:sz w:val="18"/>
              </w:rPr>
              <w:t xml:space="preserve"> </w:t>
            </w:r>
          </w:p>
          <w:p w14:paraId="1056BBD3" w14:textId="295D0A1F" w:rsidR="00CD51BE" w:rsidRDefault="00CD51BE" w:rsidP="007D280E">
            <w:pPr>
              <w:ind w:firstLine="79"/>
              <w:jc w:val="center"/>
              <w:rPr>
                <w:color w:val="000000"/>
                <w:sz w:val="18"/>
              </w:rPr>
            </w:pPr>
            <w:r>
              <w:rPr>
                <w:color w:val="000000"/>
                <w:sz w:val="18"/>
              </w:rPr>
              <w:t>Duomenys kaupiami ir saugomi Juridinių asmenų registre, kodas 188751834</w:t>
            </w:r>
            <w:r w:rsidR="007D280E">
              <w:rPr>
                <w:color w:val="000000"/>
                <w:sz w:val="18"/>
              </w:rPr>
              <w:t>.</w:t>
            </w:r>
          </w:p>
        </w:tc>
      </w:tr>
    </w:tbl>
    <w:p w14:paraId="704B777A" w14:textId="77777777" w:rsidR="00CD51BE" w:rsidRDefault="00CD51BE" w:rsidP="00CD51BE"/>
    <w:p w14:paraId="1A336B06" w14:textId="77777777" w:rsidR="00CD51BE" w:rsidRDefault="00CD51BE" w:rsidP="00CD51BE">
      <w:pPr>
        <w:spacing w:line="360" w:lineRule="auto"/>
        <w:jc w:val="center"/>
        <w:rPr>
          <w:b/>
          <w:sz w:val="26"/>
          <w:szCs w:val="26"/>
        </w:rPr>
      </w:pPr>
    </w:p>
    <w:p w14:paraId="419D87A4" w14:textId="77777777" w:rsidR="00CD51BE" w:rsidRPr="00F92D33" w:rsidRDefault="00CD51BE" w:rsidP="00CD51BE">
      <w:pPr>
        <w:spacing w:line="360" w:lineRule="auto"/>
        <w:jc w:val="center"/>
        <w:rPr>
          <w:b/>
          <w:sz w:val="26"/>
          <w:szCs w:val="26"/>
        </w:rPr>
      </w:pPr>
      <w:r w:rsidRPr="00F92D33">
        <w:rPr>
          <w:b/>
          <w:sz w:val="26"/>
          <w:szCs w:val="26"/>
        </w:rPr>
        <w:t>P A Ž Y M A</w:t>
      </w:r>
    </w:p>
    <w:p w14:paraId="53697CD6" w14:textId="77777777" w:rsidR="00CD51BE" w:rsidRPr="00986B8D" w:rsidRDefault="00CD51BE" w:rsidP="00CD51BE">
      <w:pPr>
        <w:spacing w:line="360" w:lineRule="auto"/>
        <w:jc w:val="center"/>
        <w:rPr>
          <w:b/>
        </w:rPr>
      </w:pPr>
      <w:r>
        <w:rPr>
          <w:b/>
        </w:rPr>
        <w:t>DĖL 2024 M. GRUODŽIO 31 D. SAVIVALDYBĖS METINIAM FINANSINIŲ ATASKAITŲ RINKINIUI TAIKOMO REIKŠMINGUMO KRITERIJAUS</w:t>
      </w:r>
    </w:p>
    <w:p w14:paraId="10E70AEA" w14:textId="77777777" w:rsidR="00CD51BE" w:rsidRDefault="00CD51BE" w:rsidP="00CD51BE">
      <w:pPr>
        <w:spacing w:line="360" w:lineRule="auto"/>
        <w:jc w:val="center"/>
      </w:pPr>
      <w:r>
        <w:t>2025-04-01    Nr. FDV3-141</w:t>
      </w:r>
    </w:p>
    <w:p w14:paraId="0A9A7F70" w14:textId="77777777" w:rsidR="00CD51BE" w:rsidRDefault="00CD51BE" w:rsidP="00CD51BE">
      <w:pPr>
        <w:spacing w:line="360" w:lineRule="auto"/>
        <w:jc w:val="center"/>
      </w:pPr>
    </w:p>
    <w:p w14:paraId="6417A9A7" w14:textId="026E52EE" w:rsidR="00CD51BE" w:rsidRDefault="00CD51BE" w:rsidP="00A215E7">
      <w:pPr>
        <w:ind w:firstLine="1247"/>
        <w:jc w:val="both"/>
      </w:pPr>
      <w:r>
        <w:t>Vadovau</w:t>
      </w:r>
      <w:r w:rsidR="00DE4DBF">
        <w:t>damasi</w:t>
      </w:r>
      <w:r>
        <w:t xml:space="preserve"> Lietuvos Respublikos finansų ministro </w:t>
      </w:r>
      <w:bookmarkStart w:id="1" w:name="_Hlk194322108"/>
      <w:r>
        <w:t>2011 m. balandžio 19</w:t>
      </w:r>
      <w:r w:rsidR="007D280E">
        <w:t xml:space="preserve"> d.</w:t>
      </w:r>
      <w:r>
        <w:t xml:space="preserve"> įsakymu Nr. 1K-152</w:t>
      </w:r>
      <w:bookmarkEnd w:id="1"/>
      <w:r>
        <w:t xml:space="preserve"> (2024 m. kovo 14 d. nauja suvestinė redakcija) „Dėl viešojo sektoriaus subjektų finansinių ataskaitų konsolidavimo“ patvirtintos </w:t>
      </w:r>
      <w:r w:rsidR="00DE4DBF">
        <w:t>V</w:t>
      </w:r>
      <w:r>
        <w:t xml:space="preserve">iešojo sektoriaus subjektų finansinių ataskaitų  konsolidavimo metodikos 48 punktu, </w:t>
      </w:r>
    </w:p>
    <w:p w14:paraId="7AD44DD2" w14:textId="3123A619" w:rsidR="00CD51BE" w:rsidRDefault="00CD51BE" w:rsidP="00A215E7">
      <w:pPr>
        <w:ind w:firstLine="1247"/>
        <w:jc w:val="both"/>
      </w:pPr>
      <w:r>
        <w:t>n u s t a t a u Skuodo rajono savivaldybės (M40) 2024 m. gruodžio 31 d. metinio finansinių ataskaitų rinkinio reikšmingumo kriterijų – 96</w:t>
      </w:r>
      <w:r w:rsidR="00DE4DBF">
        <w:t xml:space="preserve"> </w:t>
      </w:r>
      <w:r>
        <w:t xml:space="preserve">550,96 Eur. </w:t>
      </w:r>
    </w:p>
    <w:p w14:paraId="3DBA6F8B" w14:textId="77777777" w:rsidR="00CD51BE" w:rsidRDefault="00CD51BE" w:rsidP="00CD51BE">
      <w:pPr>
        <w:spacing w:line="360" w:lineRule="auto"/>
        <w:jc w:val="both"/>
      </w:pPr>
    </w:p>
    <w:p w14:paraId="345603E2" w14:textId="77777777" w:rsidR="00CD51BE" w:rsidRDefault="00CD51BE" w:rsidP="00CD51BE">
      <w:pPr>
        <w:spacing w:line="360" w:lineRule="auto"/>
        <w:jc w:val="both"/>
      </w:pPr>
    </w:p>
    <w:tbl>
      <w:tblPr>
        <w:tblW w:w="9781" w:type="dxa"/>
        <w:tblInd w:w="-34" w:type="dxa"/>
        <w:tblLook w:val="0000" w:firstRow="0" w:lastRow="0" w:firstColumn="0" w:lastColumn="0" w:noHBand="0" w:noVBand="0"/>
      </w:tblPr>
      <w:tblGrid>
        <w:gridCol w:w="4815"/>
        <w:gridCol w:w="4966"/>
      </w:tblGrid>
      <w:tr w:rsidR="00CD51BE" w14:paraId="55FF3C71" w14:textId="77777777" w:rsidTr="007E23A1">
        <w:trPr>
          <w:trHeight w:val="190"/>
        </w:trPr>
        <w:tc>
          <w:tcPr>
            <w:tcW w:w="4815" w:type="dxa"/>
            <w:shd w:val="clear" w:color="auto" w:fill="auto"/>
          </w:tcPr>
          <w:p w14:paraId="62DFCD84" w14:textId="77777777" w:rsidR="00CD51BE" w:rsidRDefault="00CD51BE" w:rsidP="007E23A1">
            <w:pPr>
              <w:jc w:val="both"/>
            </w:pPr>
            <w:r w:rsidRPr="005F5DE5">
              <w:t>Biudžeto valdymo  skyriaus v</w:t>
            </w:r>
            <w:r>
              <w:t>edėja</w:t>
            </w:r>
          </w:p>
        </w:tc>
        <w:tc>
          <w:tcPr>
            <w:tcW w:w="4966" w:type="dxa"/>
            <w:shd w:val="clear" w:color="auto" w:fill="auto"/>
          </w:tcPr>
          <w:p w14:paraId="3EDC27AE" w14:textId="77777777" w:rsidR="00CD51BE" w:rsidRDefault="00CD51BE" w:rsidP="007E23A1">
            <w:pPr>
              <w:jc w:val="center"/>
            </w:pPr>
            <w:r>
              <w:t xml:space="preserve">                                            Nijolė Mackevičienė</w:t>
            </w:r>
          </w:p>
          <w:p w14:paraId="1EEB192D" w14:textId="77777777" w:rsidR="00CD51BE" w:rsidRDefault="00CD51BE" w:rsidP="007E23A1">
            <w:pPr>
              <w:jc w:val="right"/>
            </w:pPr>
          </w:p>
          <w:p w14:paraId="3C319A75" w14:textId="77777777" w:rsidR="00CD51BE" w:rsidRDefault="00CD51BE" w:rsidP="007E23A1">
            <w:pPr>
              <w:jc w:val="both"/>
            </w:pPr>
            <w:r>
              <w:t xml:space="preserve"> </w:t>
            </w:r>
          </w:p>
        </w:tc>
      </w:tr>
    </w:tbl>
    <w:p w14:paraId="3BBE8EE5" w14:textId="77777777" w:rsidR="00CD51BE" w:rsidRDefault="00CD51BE" w:rsidP="00CD51BE">
      <w:pPr>
        <w:spacing w:line="360" w:lineRule="auto"/>
        <w:jc w:val="both"/>
      </w:pPr>
    </w:p>
    <w:p w14:paraId="067EB0A4" w14:textId="18CC30D5" w:rsidR="00CD51BE" w:rsidRDefault="00CD51BE" w:rsidP="00CD51BE">
      <w:pPr>
        <w:spacing w:line="360" w:lineRule="auto"/>
        <w:jc w:val="both"/>
      </w:pPr>
      <w:r w:rsidRPr="005F5DE5">
        <w:t xml:space="preserve">Biudžeto valdymo  skyriaus vyriausioji </w:t>
      </w:r>
      <w:r>
        <w:t>specialistė</w:t>
      </w:r>
      <w:r>
        <w:tab/>
        <w:t xml:space="preserve">        </w:t>
      </w:r>
      <w:r>
        <w:tab/>
        <w:t xml:space="preserve">                  Edita Gadeikienė</w:t>
      </w:r>
    </w:p>
    <w:p w14:paraId="454B33D5" w14:textId="77777777" w:rsidR="00CD51BE" w:rsidRDefault="00CD51BE" w:rsidP="00CD51BE">
      <w:pPr>
        <w:spacing w:line="360" w:lineRule="auto"/>
        <w:jc w:val="both"/>
      </w:pPr>
    </w:p>
    <w:p w14:paraId="71104B51" w14:textId="77777777" w:rsidR="00CD51BE" w:rsidRDefault="00CD51BE" w:rsidP="00CD51BE">
      <w:pPr>
        <w:spacing w:line="360" w:lineRule="auto"/>
        <w:jc w:val="both"/>
      </w:pPr>
    </w:p>
    <w:p w14:paraId="19265392" w14:textId="77777777" w:rsidR="00CD51BE" w:rsidRDefault="00CD51BE" w:rsidP="00CD51BE">
      <w:pPr>
        <w:spacing w:line="360" w:lineRule="auto"/>
        <w:jc w:val="both"/>
      </w:pPr>
    </w:p>
    <w:p w14:paraId="564E5E5A" w14:textId="77777777" w:rsidR="00CD51BE" w:rsidRDefault="00CD51BE" w:rsidP="00CD51BE">
      <w:pPr>
        <w:spacing w:line="360" w:lineRule="auto"/>
        <w:jc w:val="both"/>
      </w:pPr>
    </w:p>
    <w:p w14:paraId="32FDB03A" w14:textId="77777777" w:rsidR="00CD51BE" w:rsidRDefault="00CD51BE" w:rsidP="00CD51BE">
      <w:pPr>
        <w:spacing w:line="360" w:lineRule="auto"/>
        <w:jc w:val="both"/>
      </w:pPr>
    </w:p>
    <w:p w14:paraId="44D559E6" w14:textId="77777777" w:rsidR="00CD51BE" w:rsidRDefault="00CD51BE" w:rsidP="00CD51BE">
      <w:pPr>
        <w:spacing w:line="360" w:lineRule="auto"/>
        <w:jc w:val="both"/>
      </w:pPr>
    </w:p>
    <w:p w14:paraId="77A115D1" w14:textId="77777777" w:rsidR="00CD51BE" w:rsidRDefault="00CD51BE" w:rsidP="00CD51BE">
      <w:pPr>
        <w:spacing w:line="360" w:lineRule="auto"/>
        <w:jc w:val="both"/>
      </w:pPr>
    </w:p>
    <w:p w14:paraId="294EE21F" w14:textId="77777777" w:rsidR="00CD51BE" w:rsidRDefault="00CD51BE" w:rsidP="00CD51BE">
      <w:pPr>
        <w:spacing w:line="360" w:lineRule="auto"/>
        <w:jc w:val="both"/>
      </w:pPr>
    </w:p>
    <w:p w14:paraId="52457A87" w14:textId="77777777" w:rsidR="00CD51BE" w:rsidRDefault="00CD51BE" w:rsidP="00CD51BE">
      <w:pPr>
        <w:spacing w:line="360" w:lineRule="auto"/>
        <w:jc w:val="both"/>
      </w:pPr>
    </w:p>
    <w:p w14:paraId="1B43C5DA" w14:textId="0078C954" w:rsidR="00CD51BE" w:rsidRDefault="00CD51BE" w:rsidP="00CD51BE">
      <w:pPr>
        <w:spacing w:line="360" w:lineRule="auto"/>
        <w:jc w:val="both"/>
      </w:pPr>
      <w:r>
        <w:rPr>
          <w:sz w:val="22"/>
          <w:szCs w:val="22"/>
        </w:rPr>
        <w:t>Edita Gadeikienė, tel. +370 440 44866, el. p. edita.gadeikiene@skuodas.lt</w:t>
      </w:r>
    </w:p>
    <w:sectPr w:rsidR="00CD51BE" w:rsidSect="00A215E7">
      <w:headerReference w:type="default" r:id="rId9"/>
      <w:footerReference w:type="default" r:id="rId10"/>
      <w:pgSz w:w="11906" w:h="16838"/>
      <w:pgMar w:top="1134" w:right="567" w:bottom="1134" w:left="1701" w:header="567" w:footer="567"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9D20D" w14:textId="77777777" w:rsidR="00005589" w:rsidRDefault="00005589">
      <w:r>
        <w:separator/>
      </w:r>
    </w:p>
  </w:endnote>
  <w:endnote w:type="continuationSeparator" w:id="0">
    <w:p w14:paraId="1AB83228" w14:textId="77777777" w:rsidR="00005589" w:rsidRDefault="00005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AF8DA" w14:textId="01CB8760" w:rsidR="008A6560" w:rsidRDefault="008A6560">
    <w:pPr>
      <w:pStyle w:val="Porat"/>
      <w:jc w:val="right"/>
    </w:pPr>
  </w:p>
  <w:p w14:paraId="072AF8DB" w14:textId="77777777" w:rsidR="008A6560" w:rsidRDefault="008A656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480F4" w14:textId="77777777" w:rsidR="00005589" w:rsidRDefault="00005589">
      <w:r>
        <w:separator/>
      </w:r>
    </w:p>
  </w:footnote>
  <w:footnote w:type="continuationSeparator" w:id="0">
    <w:p w14:paraId="62278EF9" w14:textId="77777777" w:rsidR="00005589" w:rsidRDefault="00005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2156896"/>
      <w:docPartObj>
        <w:docPartGallery w:val="Page Numbers (Top of Page)"/>
        <w:docPartUnique/>
      </w:docPartObj>
    </w:sdtPr>
    <w:sdtEndPr/>
    <w:sdtContent>
      <w:p w14:paraId="70AEFEAB" w14:textId="2A1365ED" w:rsidR="003F17DB" w:rsidRDefault="003F17DB">
        <w:pPr>
          <w:pStyle w:val="Antrats"/>
          <w:jc w:val="center"/>
        </w:pPr>
        <w:r>
          <w:fldChar w:fldCharType="begin"/>
        </w:r>
        <w:r>
          <w:instrText>PAGE   \* MERGEFORMAT</w:instrText>
        </w:r>
        <w:r>
          <w:fldChar w:fldCharType="separate"/>
        </w:r>
        <w:r>
          <w:t>2</w:t>
        </w:r>
        <w:r>
          <w:fldChar w:fldCharType="end"/>
        </w:r>
      </w:p>
    </w:sdtContent>
  </w:sdt>
  <w:p w14:paraId="560A1D72" w14:textId="77777777" w:rsidR="003F17DB" w:rsidRDefault="003F17D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3071F"/>
    <w:multiLevelType w:val="multilevel"/>
    <w:tmpl w:val="E3C6CCE2"/>
    <w:lvl w:ilvl="0">
      <w:start w:val="1"/>
      <w:numFmt w:val="bullet"/>
      <w:lvlText w:val=""/>
      <w:lvlJc w:val="left"/>
      <w:pPr>
        <w:tabs>
          <w:tab w:val="num" w:pos="1440"/>
        </w:tabs>
        <w:ind w:left="144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0730E8"/>
    <w:multiLevelType w:val="multilevel"/>
    <w:tmpl w:val="E78ECFB2"/>
    <w:lvl w:ilvl="0">
      <w:start w:val="1"/>
      <w:numFmt w:val="bullet"/>
      <w:lvlText w:val=""/>
      <w:lvlJc w:val="left"/>
      <w:pPr>
        <w:tabs>
          <w:tab w:val="num" w:pos="916"/>
        </w:tabs>
        <w:ind w:left="163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061A03"/>
    <w:multiLevelType w:val="multilevel"/>
    <w:tmpl w:val="28163E58"/>
    <w:lvl w:ilvl="0">
      <w:start w:val="1"/>
      <w:numFmt w:val="bullet"/>
      <w:lvlText w:val=""/>
      <w:lvlJc w:val="left"/>
      <w:pPr>
        <w:tabs>
          <w:tab w:val="num" w:pos="1298"/>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6D2CE1"/>
    <w:multiLevelType w:val="multilevel"/>
    <w:tmpl w:val="F73088DC"/>
    <w:lvl w:ilvl="0">
      <w:start w:val="1"/>
      <w:numFmt w:val="bullet"/>
      <w:lvlText w:val=""/>
      <w:lvlJc w:val="left"/>
      <w:pPr>
        <w:tabs>
          <w:tab w:val="num" w:pos="1440"/>
        </w:tabs>
        <w:ind w:left="144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A93A4C"/>
    <w:multiLevelType w:val="multilevel"/>
    <w:tmpl w:val="7B68E7EC"/>
    <w:lvl w:ilvl="0">
      <w:start w:val="1"/>
      <w:numFmt w:val="bullet"/>
      <w:lvlText w:val=""/>
      <w:lvlJc w:val="left"/>
      <w:pPr>
        <w:tabs>
          <w:tab w:val="num" w:pos="1440"/>
        </w:tabs>
        <w:ind w:left="144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CC57CB"/>
    <w:multiLevelType w:val="multilevel"/>
    <w:tmpl w:val="967814FA"/>
    <w:lvl w:ilvl="0">
      <w:start w:val="1"/>
      <w:numFmt w:val="bullet"/>
      <w:lvlText w:val=""/>
      <w:lvlJc w:val="left"/>
      <w:pPr>
        <w:tabs>
          <w:tab w:val="num" w:pos="0"/>
        </w:tabs>
        <w:ind w:left="2022"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751225F"/>
    <w:multiLevelType w:val="multilevel"/>
    <w:tmpl w:val="95985A6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8644654">
    <w:abstractNumId w:val="0"/>
  </w:num>
  <w:num w:numId="2" w16cid:durableId="1867670335">
    <w:abstractNumId w:val="5"/>
  </w:num>
  <w:num w:numId="3" w16cid:durableId="1378697609">
    <w:abstractNumId w:val="1"/>
  </w:num>
  <w:num w:numId="4" w16cid:durableId="1915123368">
    <w:abstractNumId w:val="4"/>
  </w:num>
  <w:num w:numId="5" w16cid:durableId="1469129788">
    <w:abstractNumId w:val="3"/>
  </w:num>
  <w:num w:numId="6" w16cid:durableId="1995988792">
    <w:abstractNumId w:val="2"/>
  </w:num>
  <w:num w:numId="7" w16cid:durableId="5626459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560"/>
    <w:rsid w:val="00005589"/>
    <w:rsid w:val="00075FF2"/>
    <w:rsid w:val="00120FBA"/>
    <w:rsid w:val="0013442A"/>
    <w:rsid w:val="001A751C"/>
    <w:rsid w:val="001F3CBF"/>
    <w:rsid w:val="002766B2"/>
    <w:rsid w:val="003F17DB"/>
    <w:rsid w:val="00523E61"/>
    <w:rsid w:val="005322E1"/>
    <w:rsid w:val="00586D00"/>
    <w:rsid w:val="006306D4"/>
    <w:rsid w:val="00795934"/>
    <w:rsid w:val="007D280E"/>
    <w:rsid w:val="008258A0"/>
    <w:rsid w:val="008A6560"/>
    <w:rsid w:val="00973267"/>
    <w:rsid w:val="009B5878"/>
    <w:rsid w:val="009E21F9"/>
    <w:rsid w:val="00A215E7"/>
    <w:rsid w:val="00B3104C"/>
    <w:rsid w:val="00C02064"/>
    <w:rsid w:val="00C33964"/>
    <w:rsid w:val="00C6081E"/>
    <w:rsid w:val="00CA1E49"/>
    <w:rsid w:val="00CD51BE"/>
    <w:rsid w:val="00D03CA3"/>
    <w:rsid w:val="00D57E3E"/>
    <w:rsid w:val="00DE4DBF"/>
    <w:rsid w:val="00E00BB6"/>
    <w:rsid w:val="00E527C6"/>
    <w:rsid w:val="00E743AA"/>
    <w:rsid w:val="00E94797"/>
    <w:rsid w:val="00ED25A6"/>
    <w:rsid w:val="00FC59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AF773"/>
  <w15:docId w15:val="{9193A546-0AB4-4147-BDCE-6D1EC1C6D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b w:val="0"/>
    </w:rPr>
  </w:style>
  <w:style w:type="character" w:customStyle="1" w:styleId="WW8Num16z1">
    <w:name w:val="WW8Num16z1"/>
    <w:qFormat/>
  </w:style>
  <w:style w:type="character" w:customStyle="1" w:styleId="WW8Num17z0">
    <w:name w:val="WW8Num17z0"/>
    <w:qFormat/>
  </w:style>
  <w:style w:type="character" w:styleId="Puslapionumeris">
    <w:name w:val="page number"/>
    <w:basedOn w:val="Numatytasispastraiposriftas"/>
  </w:style>
  <w:style w:type="character" w:customStyle="1" w:styleId="DebesliotekstasDiagrama">
    <w:name w:val="Debesėlio tekstas Diagrama"/>
    <w:qFormat/>
    <w:rPr>
      <w:rFonts w:ascii="Tahoma" w:hAnsi="Tahoma" w:cs="Tahoma"/>
      <w:sz w:val="16"/>
      <w:szCs w:val="16"/>
      <w:lang w:val="lt-LT"/>
    </w:rPr>
  </w:style>
  <w:style w:type="character" w:customStyle="1" w:styleId="fontstyle176">
    <w:name w:val="fontstyle176"/>
    <w:qFormat/>
  </w:style>
  <w:style w:type="character" w:customStyle="1" w:styleId="PaprastasistekstasDiagrama">
    <w:name w:val="Paprastasis tekstas Diagrama"/>
    <w:qFormat/>
    <w:rPr>
      <w:rFonts w:ascii="Calibri" w:eastAsia="Calibri" w:hAnsi="Calibri" w:cs="Calibri"/>
      <w:sz w:val="22"/>
      <w:szCs w:val="21"/>
    </w:rPr>
  </w:style>
  <w:style w:type="character" w:customStyle="1" w:styleId="AntratsDiagrama">
    <w:name w:val="Antraštės Diagrama"/>
    <w:uiPriority w:val="99"/>
    <w:qFormat/>
    <w:rPr>
      <w:sz w:val="24"/>
      <w:szCs w:val="24"/>
    </w:rPr>
  </w:style>
  <w:style w:type="character" w:styleId="Hipersaitas">
    <w:name w:val="Hyperlink"/>
    <w:rPr>
      <w:color w:val="0000FF"/>
      <w:u w:val="single"/>
    </w:rPr>
  </w:style>
  <w:style w:type="character" w:customStyle="1" w:styleId="PuslapioinaostekstasDiagrama">
    <w:name w:val="Puslapio išnašos tekstas Diagrama"/>
    <w:qFormat/>
  </w:style>
  <w:style w:type="character" w:customStyle="1" w:styleId="FootnoteCharacters">
    <w:name w:val="Footnote Characters"/>
    <w:qFormat/>
    <w:rPr>
      <w:vertAlign w:val="superscript"/>
    </w:rPr>
  </w:style>
  <w:style w:type="character" w:customStyle="1" w:styleId="PoratDiagrama">
    <w:name w:val="Poraštė Diagrama"/>
    <w:qFormat/>
    <w:rPr>
      <w:sz w:val="24"/>
      <w:szCs w:val="24"/>
    </w:rPr>
  </w:style>
  <w:style w:type="character" w:customStyle="1" w:styleId="CitataDiagrama">
    <w:name w:val="Citata Diagrama"/>
    <w:qFormat/>
    <w:rPr>
      <w:i/>
      <w:iCs/>
      <w:color w:val="404040"/>
      <w:sz w:val="24"/>
      <w:szCs w:val="24"/>
    </w:rPr>
  </w:style>
  <w:style w:type="character" w:customStyle="1" w:styleId="FontStyle1760">
    <w:name w:val="Font Style176"/>
    <w:qFormat/>
    <w:rPr>
      <w:rFonts w:ascii="Times New Roman" w:hAnsi="Times New Roman" w:cs="Times New Roman"/>
      <w:b/>
      <w:bCs/>
      <w:sz w:val="34"/>
      <w:szCs w:val="3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customStyle="1" w:styleId="HeaderandFooter">
    <w:name w:val="Header and Footer"/>
    <w:basedOn w:val="prastasis"/>
    <w:qFormat/>
    <w:pPr>
      <w:suppressLineNumbers/>
      <w:tabs>
        <w:tab w:val="center" w:pos="4986"/>
        <w:tab w:val="right" w:pos="9972"/>
      </w:tabs>
    </w:pPr>
  </w:style>
  <w:style w:type="paragraph" w:styleId="Porat">
    <w:name w:val="footer"/>
    <w:basedOn w:val="prastasis"/>
    <w:pPr>
      <w:tabs>
        <w:tab w:val="center" w:pos="4819"/>
        <w:tab w:val="right" w:pos="9638"/>
      </w:tabs>
    </w:pPr>
  </w:style>
  <w:style w:type="paragraph" w:styleId="Debesliotekstas">
    <w:name w:val="Balloon Text"/>
    <w:basedOn w:val="prastasis"/>
    <w:qFormat/>
    <w:rPr>
      <w:rFonts w:ascii="Tahoma" w:hAnsi="Tahoma" w:cs="Tahoma"/>
      <w:sz w:val="16"/>
      <w:szCs w:val="16"/>
    </w:rPr>
  </w:style>
  <w:style w:type="paragraph" w:customStyle="1" w:styleId="Style11">
    <w:name w:val="Style11"/>
    <w:basedOn w:val="prastasis"/>
    <w:qFormat/>
    <w:pPr>
      <w:widowControl w:val="0"/>
      <w:autoSpaceDE w:val="0"/>
      <w:jc w:val="both"/>
    </w:pPr>
  </w:style>
  <w:style w:type="paragraph" w:customStyle="1" w:styleId="style88">
    <w:name w:val="style88"/>
    <w:basedOn w:val="prastasis"/>
    <w:qFormat/>
    <w:pPr>
      <w:spacing w:before="280" w:after="280"/>
    </w:pPr>
    <w:rPr>
      <w:color w:val="000000"/>
      <w:lang w:val="en-US"/>
    </w:rPr>
  </w:style>
  <w:style w:type="paragraph" w:styleId="Paprastasistekstas">
    <w:name w:val="Plain Text"/>
    <w:basedOn w:val="prastasis"/>
    <w:qFormat/>
    <w:rPr>
      <w:rFonts w:ascii="Calibri" w:eastAsia="Calibri" w:hAnsi="Calibri"/>
      <w:sz w:val="22"/>
      <w:szCs w:val="21"/>
    </w:rPr>
  </w:style>
  <w:style w:type="paragraph" w:styleId="Antrats">
    <w:name w:val="header"/>
    <w:basedOn w:val="prastasis"/>
    <w:uiPriority w:val="99"/>
    <w:pPr>
      <w:tabs>
        <w:tab w:val="center" w:pos="4819"/>
        <w:tab w:val="right" w:pos="9638"/>
      </w:tabs>
    </w:pPr>
  </w:style>
  <w:style w:type="paragraph" w:customStyle="1" w:styleId="Pagrindinistekstas1">
    <w:name w:val="Pagrindinis tekstas1"/>
    <w:basedOn w:val="prastasis"/>
    <w:qFormat/>
    <w:pPr>
      <w:autoSpaceDE w:val="0"/>
      <w:spacing w:line="297" w:lineRule="auto"/>
      <w:ind w:firstLine="312"/>
      <w:jc w:val="both"/>
      <w:textAlignment w:val="center"/>
    </w:pPr>
    <w:rPr>
      <w:color w:val="000000"/>
      <w:sz w:val="20"/>
      <w:szCs w:val="20"/>
    </w:rPr>
  </w:style>
  <w:style w:type="paragraph" w:styleId="Puslapioinaostekstas">
    <w:name w:val="footnote text"/>
    <w:basedOn w:val="prastasis"/>
    <w:rPr>
      <w:sz w:val="20"/>
      <w:szCs w:val="20"/>
    </w:rPr>
  </w:style>
  <w:style w:type="paragraph" w:styleId="Citata">
    <w:name w:val="Quote"/>
    <w:basedOn w:val="prastasis"/>
    <w:next w:val="prastasis"/>
    <w:qFormat/>
    <w:pPr>
      <w:spacing w:before="200" w:after="160"/>
      <w:ind w:left="864" w:right="864"/>
      <w:jc w:val="center"/>
    </w:pPr>
    <w:rPr>
      <w:i/>
      <w:iCs/>
      <w:color w:val="404040"/>
    </w:rPr>
  </w:style>
  <w:style w:type="paragraph" w:customStyle="1" w:styleId="Style85">
    <w:name w:val="Style85"/>
    <w:basedOn w:val="prastasis"/>
    <w:qFormat/>
    <w:pPr>
      <w:widowControl w:val="0"/>
      <w:autoSpaceDE w:val="0"/>
      <w:spacing w:line="312" w:lineRule="exact"/>
      <w:ind w:firstLine="398"/>
    </w:pPr>
  </w:style>
  <w:style w:type="paragraph" w:customStyle="1" w:styleId="TableContents">
    <w:name w:val="Table Contents"/>
    <w:basedOn w:val="prastasis"/>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paragraph" w:styleId="Pataisymai">
    <w:name w:val="Revision"/>
    <w:hidden/>
    <w:uiPriority w:val="99"/>
    <w:semiHidden/>
    <w:rsid w:val="00ED25A6"/>
    <w:pPr>
      <w:suppressAutoHyphens w:val="0"/>
    </w:pPr>
    <w:rPr>
      <w:rFonts w:ascii="Times New Roman" w:eastAsia="Times New Roman" w:hAnsi="Times New Roman" w:cs="Times New Roman"/>
      <w:lang w:val="lt-L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5BBAE-F342-4196-ADDA-930A2418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23814</Words>
  <Characters>13574</Characters>
  <Application>Microsoft Office Word</Application>
  <DocSecurity>4</DocSecurity>
  <Lines>113</Lines>
  <Paragraphs>74</Paragraphs>
  <ScaleCrop>false</ScaleCrop>
  <HeadingPairs>
    <vt:vector size="2" baseType="variant">
      <vt:variant>
        <vt:lpstr>Pavadinimas</vt:lpstr>
      </vt:variant>
      <vt:variant>
        <vt:i4>1</vt:i4>
      </vt:variant>
    </vt:vector>
  </HeadingPairs>
  <TitlesOfParts>
    <vt:vector size="1" baseType="lpstr">
      <vt:lpstr>SKUODO RAJONO SAVIVALDYBĖS 2011 M</vt:lpstr>
    </vt:vector>
  </TitlesOfParts>
  <Company/>
  <LinksUpToDate>false</LinksUpToDate>
  <CharactersWithSpaces>37314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SKUODO RAJONO SAVIVALDYBĖS 2011 M</dc:title>
  <dc:creator>OnaM</dc:creator>
  <cp:lastModifiedBy>Sadauskienė, Dalia</cp:lastModifiedBy>
  <cp:revision>2</cp:revision>
  <cp:lastPrinted>2025-04-15T11:42:00Z</cp:lastPrinted>
  <dcterms:created xsi:type="dcterms:W3CDTF">2025-05-20T05:41:00Z</dcterms:created>
  <dcterms:modified xsi:type="dcterms:W3CDTF">2025-05-20T05:41:00Z</dcterms:modified>
  <dc:language>en-US</dc:language>
</cp:coreProperties>
</file>